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spacing w:line="54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spacing w:line="5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自治区“十四五”应急体系建设规划的通知</w:t>
      </w:r>
    </w:p>
    <w:p>
      <w:pPr>
        <w:keepNext w:val="0"/>
        <w:keepLines w:val="0"/>
        <w:pageBreakBefore w:val="0"/>
        <w:widowControl w:val="0"/>
        <w:kinsoku/>
        <w:wordWrap/>
        <w:overflowPunct/>
        <w:topLinePunct/>
        <w:autoSpaceDE/>
        <w:autoSpaceDN/>
        <w:bidi w:val="0"/>
        <w:spacing w:line="54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spacing w:line="54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内政办发〔2021〕90号</w:t>
      </w:r>
    </w:p>
    <w:p>
      <w:pPr>
        <w:keepNext w:val="0"/>
        <w:keepLines w:val="0"/>
        <w:pageBreakBefore w:val="0"/>
        <w:widowControl w:val="0"/>
        <w:kinsoku/>
        <w:wordWrap/>
        <w:overflowPunct/>
        <w:topLinePunct/>
        <w:autoSpaceDE/>
        <w:autoSpaceDN/>
        <w:bidi w:val="0"/>
        <w:spacing w:line="560" w:lineRule="exact"/>
        <w:jc w:val="both"/>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各盟行政公署、市人民政府，自治区各委、办、厅、局，各大企业、事业单位</w:t>
      </w:r>
      <w:r>
        <w:rPr>
          <w:rFonts w:hint="eastAsia" w:ascii="方正楷体_GBK" w:hAnsi="方正楷体_GBK" w:eastAsia="方正楷体_GBK" w:cs="方正楷体_GBK"/>
          <w:sz w:val="32"/>
          <w:szCs w:val="32"/>
        </w:rPr>
        <w:t>：</w:t>
      </w:r>
    </w:p>
    <w:p>
      <w:pPr>
        <w:keepNext w:val="0"/>
        <w:keepLines w:val="0"/>
        <w:pageBreakBefore w:val="0"/>
        <w:widowControl w:val="0"/>
        <w:kinsoku/>
        <w:wordWrap/>
        <w:overflowPunct/>
        <w:topLinePunct/>
        <w:autoSpaceDE/>
        <w:autoSpaceDN/>
        <w:bidi w:val="0"/>
        <w:adjustRightInd/>
        <w:snapToGrid/>
        <w:spacing w:line="360" w:lineRule="exact"/>
        <w:ind w:firstLine="64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经自治区人民政府同意，现将《内蒙古自治区“十四五”应急体系建设规划》印发给你们，请结合实际，认真贯彻落实。</w:t>
      </w: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2021年12月31日</w:t>
      </w: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kinsoku/>
        <w:overflowPunct/>
        <w:topLinePunct/>
        <w:bidi w:val="0"/>
        <w:spacing w:line="580" w:lineRule="exact"/>
        <w:ind w:firstLine="640"/>
        <w:rPr>
          <w:rFonts w:hint="eastAsia" w:ascii="方正楷体_GBK" w:hAnsi="方正楷体_GBK" w:eastAsia="方正楷体_GBK" w:cs="方正楷体_GBK"/>
          <w:sz w:val="32"/>
          <w:szCs w:val="32"/>
          <w:lang w:val="en-US" w:eastAsia="zh-CN"/>
        </w:rPr>
      </w:pPr>
    </w:p>
    <w:p>
      <w:pPr>
        <w:keepNext w:val="0"/>
        <w:keepLines w:val="0"/>
        <w:pageBreakBefore w:val="0"/>
        <w:kinsoku/>
        <w:overflowPunct/>
        <w:topLinePunct/>
        <w:bidi w:val="0"/>
        <w:adjustRightInd w:val="0"/>
        <w:spacing w:before="298" w:beforeLines="50" w:after="298" w:afterLines="50" w:line="580" w:lineRule="exact"/>
        <w:ind w:firstLine="0" w:firstLineChars="0"/>
        <w:jc w:val="center"/>
        <w:rPr>
          <w:rFonts w:ascii="方正小标宋简体" w:hAnsi="Times New Roman" w:eastAsia="方正小标宋简体" w:cs="黑体"/>
          <w:sz w:val="44"/>
          <w:szCs w:val="44"/>
        </w:rPr>
      </w:pPr>
      <w:bookmarkStart w:id="1" w:name="_Toc2354"/>
      <w:bookmarkStart w:id="2" w:name="_Toc7704"/>
      <w:bookmarkStart w:id="3" w:name="_Toc26219"/>
      <w:bookmarkStart w:id="4" w:name="_Toc8788"/>
      <w:bookmarkStart w:id="5" w:name="_Toc30184"/>
      <w:bookmarkStart w:id="6" w:name="_Toc30230"/>
      <w:bookmarkStart w:id="7" w:name="_Toc7319"/>
      <w:bookmarkStart w:id="8" w:name="_Toc11405"/>
      <w:r>
        <w:rPr>
          <w:rFonts w:hint="eastAsia" w:ascii="方正小标宋简体" w:hAnsi="Times New Roman" w:eastAsia="方正小标宋简体" w:cs="黑体"/>
          <w:sz w:val="44"/>
          <w:szCs w:val="44"/>
          <w:lang w:eastAsia="zh-CN"/>
        </w:rPr>
        <w:t>内</w:t>
      </w:r>
      <w:r>
        <w:rPr>
          <w:rFonts w:hint="eastAsia" w:ascii="方正小标宋简体" w:hAnsi="Times New Roman" w:eastAsia="方正小标宋简体" w:cs="黑体"/>
          <w:sz w:val="44"/>
          <w:szCs w:val="44"/>
        </w:rPr>
        <w:t>蒙古自治区“十四五”应急体系建设规划</w:t>
      </w:r>
      <w:bookmarkEnd w:id="1"/>
      <w:bookmarkEnd w:id="2"/>
      <w:bookmarkEnd w:id="3"/>
      <w:bookmarkEnd w:id="4"/>
      <w:bookmarkEnd w:id="5"/>
      <w:bookmarkEnd w:id="6"/>
      <w:bookmarkEnd w:id="7"/>
      <w:bookmarkEnd w:id="8"/>
    </w:p>
    <w:p>
      <w:pPr>
        <w:keepNext w:val="0"/>
        <w:keepLines w:val="0"/>
        <w:pageBreakBefore w:val="0"/>
        <w:tabs>
          <w:tab w:val="left" w:leader="dot" w:pos="8216"/>
        </w:tabs>
        <w:kinsoku/>
        <w:overflowPunct/>
        <w:topLinePunct/>
        <w:bidi w:val="0"/>
        <w:adjustRightInd w:val="0"/>
        <w:spacing w:before="289" w:after="289" w:line="580" w:lineRule="exact"/>
        <w:ind w:firstLine="0" w:firstLineChars="0"/>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  录</w:t>
      </w:r>
    </w:p>
    <w:p>
      <w:pPr>
        <w:pStyle w:val="12"/>
        <w:keepNext w:val="0"/>
        <w:keepLines w:val="0"/>
        <w:pageBreakBefore w:val="0"/>
        <w:widowControl/>
        <w:tabs>
          <w:tab w:val="left" w:leader="dot" w:pos="10112"/>
        </w:tabs>
        <w:kinsoku/>
        <w:wordWrap/>
        <w:overflowPunct/>
        <w:topLinePunct/>
        <w:autoSpaceDE/>
        <w:autoSpaceDN/>
        <w:bidi w:val="0"/>
        <w:adjustRightInd/>
        <w:snapToGrid/>
        <w:spacing w:line="520" w:lineRule="exact"/>
        <w:textAlignment w:val="auto"/>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TOC \o "1-2" \h \z \u </w:instrText>
      </w:r>
      <w:r>
        <w:rPr>
          <w:rFonts w:hint="eastAsia" w:ascii="方正仿宋_GBK" w:hAnsi="方正仿宋_GBK" w:eastAsia="方正仿宋_GBK" w:cs="方正仿宋_GBK"/>
          <w:sz w:val="32"/>
          <w:szCs w:val="32"/>
        </w:rPr>
        <w:fldChar w:fldCharType="separate"/>
      </w:r>
      <w:r>
        <w:rPr>
          <w:rStyle w:val="18"/>
          <w:rFonts w:hint="eastAsia" w:ascii="方正仿宋简体" w:hAnsi="方正仿宋简体" w:eastAsia="方正仿宋简体" w:cs="方正仿宋简体"/>
          <w:sz w:val="32"/>
          <w:szCs w:val="32"/>
        </w:rPr>
        <w:fldChar w:fldCharType="begin"/>
      </w:r>
      <w:r>
        <w:rPr>
          <w:rStyle w:val="18"/>
          <w:rFonts w:hint="eastAsia" w:ascii="方正仿宋简体" w:hAnsi="方正仿宋简体" w:eastAsia="方正仿宋简体" w:cs="方正仿宋简体"/>
          <w:sz w:val="32"/>
          <w:szCs w:val="32"/>
        </w:rPr>
        <w:instrText xml:space="preserve"> </w:instrText>
      </w:r>
      <w:r>
        <w:rPr>
          <w:rFonts w:hint="eastAsia" w:ascii="方正仿宋简体" w:hAnsi="方正仿宋简体" w:eastAsia="方正仿宋简体" w:cs="方正仿宋简体"/>
          <w:sz w:val="32"/>
          <w:szCs w:val="32"/>
        </w:rPr>
        <w:instrText xml:space="preserve">HYPERLINK \l "_Toc91769291"</w:instrText>
      </w:r>
      <w:r>
        <w:rPr>
          <w:rStyle w:val="18"/>
          <w:rFonts w:hint="eastAsia" w:ascii="方正仿宋简体" w:hAnsi="方正仿宋简体" w:eastAsia="方正仿宋简体" w:cs="方正仿宋简体"/>
          <w:sz w:val="32"/>
          <w:szCs w:val="32"/>
        </w:rPr>
        <w:instrText xml:space="preserve"> </w:instrText>
      </w:r>
      <w:r>
        <w:rPr>
          <w:rStyle w:val="18"/>
          <w:rFonts w:hint="eastAsia" w:ascii="方正仿宋简体" w:hAnsi="方正仿宋简体" w:eastAsia="方正仿宋简体" w:cs="方正仿宋简体"/>
          <w:sz w:val="32"/>
          <w:szCs w:val="32"/>
        </w:rPr>
        <w:fldChar w:fldCharType="separate"/>
      </w:r>
      <w:r>
        <w:rPr>
          <w:rStyle w:val="18"/>
          <w:rFonts w:hint="eastAsia" w:ascii="方正仿宋简体" w:hAnsi="方正仿宋简体" w:eastAsia="方正仿宋简体" w:cs="方正仿宋简体"/>
          <w:sz w:val="32"/>
          <w:szCs w:val="32"/>
        </w:rPr>
        <w:t>第一章 现状与形势</w:t>
      </w:r>
      <w:r>
        <w:rPr>
          <w:rStyle w:val="18"/>
          <w:rFonts w:hint="eastAsia" w:ascii="方正仿宋简体" w:hAnsi="方正仿宋简体" w:eastAsia="方正仿宋简体" w:cs="方正仿宋简体"/>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"_Toc91769292"</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第一节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“十三五”取得的成效</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"_Toc91769293"</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第二节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“十四五”面临的挑战</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"_Toc91769294"</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第三节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“十四五”发展的机遇</w:t>
      </w:r>
      <w:r>
        <w:rPr>
          <w:rStyle w:val="18"/>
          <w:rFonts w:hint="eastAsia" w:ascii="方正楷体_GBK" w:hAnsi="方正楷体_GBK" w:eastAsia="方正楷体_GBK" w:cs="方正楷体_GBK"/>
          <w:sz w:val="32"/>
          <w:szCs w:val="32"/>
        </w:rPr>
        <w:fldChar w:fldCharType="end"/>
      </w:r>
    </w:p>
    <w:p>
      <w:pPr>
        <w:pStyle w:val="12"/>
        <w:keepNext w:val="0"/>
        <w:keepLines w:val="0"/>
        <w:pageBreakBefore w:val="0"/>
        <w:widowControl/>
        <w:tabs>
          <w:tab w:val="left" w:leader="dot" w:pos="10112"/>
        </w:tabs>
        <w:kinsoku/>
        <w:wordWrap/>
        <w:overflowPunct/>
        <w:topLinePunct/>
        <w:autoSpaceDE/>
        <w:autoSpaceDN/>
        <w:bidi w:val="0"/>
        <w:adjustRightInd/>
        <w:snapToGrid/>
        <w:spacing w:line="520" w:lineRule="exact"/>
        <w:textAlignment w:val="auto"/>
        <w:rPr>
          <w:rStyle w:val="18"/>
          <w:rFonts w:hint="eastAsia" w:ascii="方正仿宋简体" w:hAnsi="方正仿宋简体" w:eastAsia="方正仿宋简体" w:cs="方正仿宋简体"/>
          <w:sz w:val="32"/>
          <w:szCs w:val="32"/>
        </w:rPr>
      </w:pPr>
      <w:r>
        <w:rPr>
          <w:rStyle w:val="18"/>
          <w:rFonts w:hint="eastAsia" w:ascii="方正仿宋简体" w:hAnsi="方正仿宋简体" w:eastAsia="方正仿宋简体" w:cs="方正仿宋简体"/>
          <w:sz w:val="32"/>
          <w:szCs w:val="32"/>
        </w:rPr>
        <w:fldChar w:fldCharType="begin"/>
      </w:r>
      <w:r>
        <w:rPr>
          <w:rStyle w:val="18"/>
          <w:rFonts w:hint="eastAsia" w:ascii="方正仿宋简体" w:hAnsi="方正仿宋简体" w:eastAsia="方正仿宋简体" w:cs="方正仿宋简体"/>
          <w:sz w:val="32"/>
          <w:szCs w:val="32"/>
        </w:rPr>
        <w:instrText xml:space="preserve"> HYPERLINK \l "_Toc91769295" </w:instrText>
      </w:r>
      <w:r>
        <w:rPr>
          <w:rStyle w:val="18"/>
          <w:rFonts w:hint="eastAsia" w:ascii="方正仿宋简体" w:hAnsi="方正仿宋简体" w:eastAsia="方正仿宋简体" w:cs="方正仿宋简体"/>
          <w:sz w:val="32"/>
          <w:szCs w:val="32"/>
        </w:rPr>
        <w:fldChar w:fldCharType="separate"/>
      </w:r>
      <w:r>
        <w:rPr>
          <w:rStyle w:val="18"/>
          <w:rFonts w:hint="eastAsia" w:ascii="方正仿宋简体" w:hAnsi="方正仿宋简体" w:eastAsia="方正仿宋简体" w:cs="方正仿宋简体"/>
          <w:sz w:val="32"/>
          <w:szCs w:val="32"/>
        </w:rPr>
        <w:t>第二章 指导思想、基本原则和</w:t>
      </w:r>
      <w:r>
        <w:rPr>
          <w:rStyle w:val="18"/>
          <w:rFonts w:hint="eastAsia" w:ascii="方正仿宋简体" w:hAnsi="方正仿宋简体" w:eastAsia="方正仿宋简体" w:cs="方正仿宋简体"/>
          <w:sz w:val="32"/>
          <w:szCs w:val="32"/>
          <w:lang w:eastAsia="zh-CN"/>
        </w:rPr>
        <w:t>工作</w:t>
      </w:r>
      <w:r>
        <w:rPr>
          <w:rStyle w:val="18"/>
          <w:rFonts w:hint="eastAsia" w:ascii="方正仿宋简体" w:hAnsi="方正仿宋简体" w:eastAsia="方正仿宋简体" w:cs="方正仿宋简体"/>
          <w:sz w:val="32"/>
          <w:szCs w:val="32"/>
        </w:rPr>
        <w:t>目标</w:t>
      </w:r>
      <w:r>
        <w:rPr>
          <w:rStyle w:val="18"/>
          <w:rFonts w:hint="eastAsia" w:ascii="方正仿宋简体" w:hAnsi="方正仿宋简体" w:eastAsia="方正仿宋简体" w:cs="方正仿宋简体"/>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"_Toc91769296"</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z w:val="32"/>
          <w:szCs w:val="32"/>
          <w:lang w:eastAsia="zh-CN"/>
        </w:rPr>
        <w:t>第一节</w:t>
      </w:r>
      <w:r>
        <w:rPr>
          <w:rStyle w:val="18"/>
          <w:rFonts w:hint="eastAsia" w:ascii="方正楷体_GBK" w:hAnsi="方正楷体_GBK" w:eastAsia="方正楷体_GBK" w:cs="方正楷体_GBK"/>
          <w:sz w:val="32"/>
          <w:szCs w:val="32"/>
          <w:lang w:val="en-US" w:eastAsia="zh-CN"/>
        </w:rPr>
        <w:t xml:space="preserve"> </w:t>
      </w:r>
      <w:r>
        <w:rPr>
          <w:rStyle w:val="18"/>
          <w:rFonts w:hint="eastAsia" w:ascii="方正楷体_GBK" w:hAnsi="方正楷体_GBK" w:eastAsia="方正楷体_GBK" w:cs="方正楷体_GBK"/>
          <w:spacing w:val="8"/>
          <w:sz w:val="32"/>
          <w:szCs w:val="32"/>
        </w:rPr>
        <w:t>指导思想</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"_Toc91769297"</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z w:val="32"/>
          <w:szCs w:val="32"/>
          <w:lang w:eastAsia="zh-CN"/>
        </w:rPr>
        <w:t>第二节</w:t>
      </w:r>
      <w:r>
        <w:rPr>
          <w:rStyle w:val="18"/>
          <w:rFonts w:hint="eastAsia" w:ascii="方正楷体_GBK" w:hAnsi="方正楷体_GBK" w:eastAsia="方正楷体_GBK" w:cs="方正楷体_GBK"/>
          <w:sz w:val="32"/>
          <w:szCs w:val="32"/>
          <w:lang w:val="en-US" w:eastAsia="zh-CN"/>
        </w:rPr>
        <w:t xml:space="preserve"> </w:t>
      </w:r>
      <w:r>
        <w:rPr>
          <w:rStyle w:val="18"/>
          <w:rFonts w:hint="eastAsia" w:ascii="方正楷体_GBK" w:hAnsi="方正楷体_GBK" w:eastAsia="方正楷体_GBK" w:cs="方正楷体_GBK"/>
          <w:spacing w:val="8"/>
          <w:sz w:val="32"/>
          <w:szCs w:val="32"/>
        </w:rPr>
        <w:t>基本原则</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"_Toc91769298"</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z w:val="32"/>
          <w:szCs w:val="32"/>
          <w:lang w:eastAsia="zh-CN"/>
        </w:rPr>
        <w:t>第三节</w:t>
      </w:r>
      <w:r>
        <w:rPr>
          <w:rStyle w:val="18"/>
          <w:rFonts w:hint="eastAsia" w:ascii="方正楷体_GBK" w:hAnsi="方正楷体_GBK" w:eastAsia="方正楷体_GBK" w:cs="方正楷体_GBK"/>
          <w:sz w:val="32"/>
          <w:szCs w:val="32"/>
          <w:lang w:val="en-US" w:eastAsia="zh-CN"/>
        </w:rPr>
        <w:t xml:space="preserve"> </w:t>
      </w:r>
      <w:r>
        <w:rPr>
          <w:rStyle w:val="18"/>
          <w:rFonts w:hint="eastAsia" w:ascii="方正楷体_GBK" w:hAnsi="方正楷体_GBK" w:eastAsia="方正楷体_GBK" w:cs="方正楷体_GBK"/>
          <w:spacing w:val="8"/>
          <w:sz w:val="32"/>
          <w:szCs w:val="32"/>
          <w:lang w:eastAsia="zh-CN"/>
        </w:rPr>
        <w:t>工作</w:t>
      </w:r>
      <w:r>
        <w:rPr>
          <w:rStyle w:val="18"/>
          <w:rFonts w:hint="eastAsia" w:ascii="方正楷体_GBK" w:hAnsi="方正楷体_GBK" w:eastAsia="方正楷体_GBK" w:cs="方正楷体_GBK"/>
          <w:spacing w:val="8"/>
          <w:sz w:val="32"/>
          <w:szCs w:val="32"/>
        </w:rPr>
        <w:t>目标</w:t>
      </w:r>
      <w:r>
        <w:rPr>
          <w:rStyle w:val="18"/>
          <w:rFonts w:hint="eastAsia" w:ascii="方正楷体_GBK" w:hAnsi="方正楷体_GBK" w:eastAsia="方正楷体_GBK" w:cs="方正楷体_GBK"/>
          <w:sz w:val="32"/>
          <w:szCs w:val="32"/>
        </w:rPr>
        <w:fldChar w:fldCharType="end"/>
      </w:r>
    </w:p>
    <w:p>
      <w:pPr>
        <w:pStyle w:val="12"/>
        <w:keepNext w:val="0"/>
        <w:keepLines w:val="0"/>
        <w:pageBreakBefore w:val="0"/>
        <w:widowControl/>
        <w:tabs>
          <w:tab w:val="left" w:leader="dot" w:pos="10112"/>
        </w:tabs>
        <w:kinsoku/>
        <w:wordWrap/>
        <w:overflowPunct/>
        <w:topLinePunct/>
        <w:autoSpaceDE/>
        <w:autoSpaceDN/>
        <w:bidi w:val="0"/>
        <w:adjustRightInd/>
        <w:snapToGrid/>
        <w:spacing w:line="520" w:lineRule="exact"/>
        <w:textAlignment w:val="auto"/>
        <w:rPr>
          <w:rStyle w:val="18"/>
          <w:rFonts w:hint="eastAsia" w:ascii="方正仿宋简体" w:hAnsi="方正仿宋简体" w:eastAsia="方正仿宋简体" w:cs="方正仿宋简体"/>
          <w:sz w:val="32"/>
          <w:szCs w:val="32"/>
        </w:rPr>
      </w:pPr>
      <w:r>
        <w:rPr>
          <w:rStyle w:val="18"/>
          <w:rFonts w:hint="eastAsia" w:ascii="方正仿宋简体" w:hAnsi="方正仿宋简体" w:eastAsia="方正仿宋简体" w:cs="方正仿宋简体"/>
          <w:sz w:val="32"/>
          <w:szCs w:val="32"/>
        </w:rPr>
        <w:fldChar w:fldCharType="begin"/>
      </w:r>
      <w:r>
        <w:rPr>
          <w:rStyle w:val="18"/>
          <w:rFonts w:hint="eastAsia" w:ascii="方正仿宋简体" w:hAnsi="方正仿宋简体" w:eastAsia="方正仿宋简体" w:cs="方正仿宋简体"/>
          <w:sz w:val="32"/>
          <w:szCs w:val="32"/>
        </w:rPr>
        <w:instrText xml:space="preserve"> HYPERLINK \l "_Toc91769299" </w:instrText>
      </w:r>
      <w:r>
        <w:rPr>
          <w:rStyle w:val="18"/>
          <w:rFonts w:hint="eastAsia" w:ascii="方正仿宋简体" w:hAnsi="方正仿宋简体" w:eastAsia="方正仿宋简体" w:cs="方正仿宋简体"/>
          <w:sz w:val="32"/>
          <w:szCs w:val="32"/>
        </w:rPr>
        <w:fldChar w:fldCharType="separate"/>
      </w:r>
      <w:r>
        <w:rPr>
          <w:rStyle w:val="18"/>
          <w:rFonts w:hint="eastAsia" w:ascii="方正仿宋简体" w:hAnsi="方正仿宋简体" w:eastAsia="方正仿宋简体" w:cs="方正仿宋简体"/>
          <w:sz w:val="32"/>
          <w:szCs w:val="32"/>
        </w:rPr>
        <w:t>第三章 深化应急管理体制机制改革</w:t>
      </w:r>
      <w:r>
        <w:rPr>
          <w:rStyle w:val="18"/>
          <w:rFonts w:hint="eastAsia" w:ascii="方正仿宋简体" w:hAnsi="方正仿宋简体" w:eastAsia="方正仿宋简体" w:cs="方正仿宋简体"/>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"_Toc91769300"</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第一节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健全组织领导体系</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"_Toc91769301"</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第二节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强化应急管理责任落实</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"_Toc91769302"</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第三节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优化应急协同机制</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"_Toc91769303"</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第四节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推进应急法治建设</w:t>
      </w:r>
      <w:r>
        <w:rPr>
          <w:rStyle w:val="18"/>
          <w:rFonts w:hint="eastAsia" w:ascii="方正楷体_GBK" w:hAnsi="方正楷体_GBK" w:eastAsia="方正楷体_GBK" w:cs="方正楷体_GBK"/>
          <w:sz w:val="32"/>
          <w:szCs w:val="32"/>
        </w:rPr>
        <w:fldChar w:fldCharType="end"/>
      </w:r>
    </w:p>
    <w:p>
      <w:pPr>
        <w:pStyle w:val="12"/>
        <w:keepNext w:val="0"/>
        <w:keepLines w:val="0"/>
        <w:pageBreakBefore w:val="0"/>
        <w:widowControl/>
        <w:tabs>
          <w:tab w:val="left" w:leader="dot" w:pos="10112"/>
        </w:tabs>
        <w:kinsoku/>
        <w:wordWrap/>
        <w:overflowPunct/>
        <w:topLinePunct/>
        <w:autoSpaceDE/>
        <w:autoSpaceDN/>
        <w:bidi w:val="0"/>
        <w:adjustRightInd/>
        <w:snapToGrid/>
        <w:spacing w:line="520" w:lineRule="exact"/>
        <w:textAlignment w:val="auto"/>
        <w:rPr>
          <w:rStyle w:val="18"/>
          <w:rFonts w:hint="eastAsia" w:ascii="方正仿宋简体" w:hAnsi="方正仿宋简体" w:eastAsia="方正仿宋简体" w:cs="方正仿宋简体"/>
          <w:sz w:val="32"/>
          <w:szCs w:val="32"/>
        </w:rPr>
      </w:pPr>
      <w:r>
        <w:rPr>
          <w:rStyle w:val="18"/>
          <w:rFonts w:hint="eastAsia" w:ascii="方正仿宋简体" w:hAnsi="方正仿宋简体" w:eastAsia="方正仿宋简体" w:cs="方正仿宋简体"/>
          <w:sz w:val="32"/>
          <w:szCs w:val="32"/>
        </w:rPr>
        <w:fldChar w:fldCharType="begin"/>
      </w:r>
      <w:r>
        <w:rPr>
          <w:rStyle w:val="18"/>
          <w:rFonts w:hint="eastAsia" w:ascii="方正仿宋简体" w:hAnsi="方正仿宋简体" w:eastAsia="方正仿宋简体" w:cs="方正仿宋简体"/>
          <w:sz w:val="32"/>
          <w:szCs w:val="32"/>
        </w:rPr>
        <w:instrText xml:space="preserve"> HYPERLINK \l "_Toc91769304" </w:instrText>
      </w:r>
      <w:r>
        <w:rPr>
          <w:rStyle w:val="18"/>
          <w:rFonts w:hint="eastAsia" w:ascii="方正仿宋简体" w:hAnsi="方正仿宋简体" w:eastAsia="方正仿宋简体" w:cs="方正仿宋简体"/>
          <w:sz w:val="32"/>
          <w:szCs w:val="32"/>
        </w:rPr>
        <w:fldChar w:fldCharType="separate"/>
      </w:r>
      <w:r>
        <w:rPr>
          <w:rStyle w:val="18"/>
          <w:rFonts w:hint="eastAsia" w:ascii="方正仿宋简体" w:hAnsi="方正仿宋简体" w:eastAsia="方正仿宋简体" w:cs="方正仿宋简体"/>
          <w:sz w:val="32"/>
          <w:szCs w:val="32"/>
        </w:rPr>
        <w:t>第四章 推进风险防控体系建设</w:t>
      </w:r>
      <w:r>
        <w:rPr>
          <w:rStyle w:val="18"/>
          <w:rFonts w:hint="eastAsia" w:ascii="方正仿宋简体" w:hAnsi="方正仿宋简体" w:eastAsia="方正仿宋简体" w:cs="方正仿宋简体"/>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"_Toc91769305"</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第一节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加强风险源头防控</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"_Toc91769306"</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第二节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提升监测预报预警能力</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"_Toc91769307"</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第三节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加大重大安全风险管控</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widowControl/>
        <w:tabs>
          <w:tab w:val="left" w:leader="dot" w:pos="10112"/>
          <w:tab w:val="clear" w:pos="8296"/>
        </w:tabs>
        <w:kinsoku/>
        <w:wordWrap/>
        <w:overflowPunct/>
        <w:topLinePunct/>
        <w:autoSpaceDE/>
        <w:autoSpaceDN/>
        <w:bidi w:val="0"/>
        <w:adjustRightInd/>
        <w:snapToGrid/>
        <w:spacing w:line="520" w:lineRule="exact"/>
        <w:ind w:left="632"/>
        <w:textAlignment w:val="auto"/>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"_Toc91769308"</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第四节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加强自然灾害综合治理</w:t>
      </w:r>
      <w:r>
        <w:rPr>
          <w:rStyle w:val="18"/>
          <w:rFonts w:hint="eastAsia" w:ascii="方正楷体_GBK" w:hAnsi="方正楷体_GBK" w:eastAsia="方正楷体_GBK" w:cs="方正楷体_GBK"/>
          <w:sz w:val="32"/>
          <w:szCs w:val="32"/>
        </w:rPr>
        <w:fldChar w:fldCharType="end"/>
      </w:r>
    </w:p>
    <w:p>
      <w:pPr>
        <w:pStyle w:val="12"/>
        <w:keepNext w:val="0"/>
        <w:keepLines w:val="0"/>
        <w:pageBreakBefore w:val="0"/>
        <w:widowControl/>
        <w:tabs>
          <w:tab w:val="left" w:leader="dot" w:pos="10112"/>
        </w:tabs>
        <w:kinsoku/>
        <w:wordWrap/>
        <w:overflowPunct/>
        <w:topLinePunct/>
        <w:autoSpaceDE/>
        <w:autoSpaceDN/>
        <w:bidi w:val="0"/>
        <w:adjustRightInd/>
        <w:snapToGrid/>
        <w:spacing w:line="520" w:lineRule="exact"/>
        <w:textAlignment w:val="auto"/>
        <w:rPr>
          <w:rStyle w:val="18"/>
          <w:rFonts w:hint="eastAsia" w:ascii="方正仿宋简体" w:hAnsi="方正仿宋简体" w:eastAsia="方正仿宋简体" w:cs="方正仿宋简体"/>
          <w:sz w:val="32"/>
          <w:szCs w:val="32"/>
        </w:rPr>
      </w:pPr>
      <w:r>
        <w:rPr>
          <w:rStyle w:val="18"/>
          <w:rFonts w:hint="eastAsia" w:ascii="方正仿宋简体" w:hAnsi="方正仿宋简体" w:eastAsia="方正仿宋简体" w:cs="方正仿宋简体"/>
          <w:sz w:val="32"/>
          <w:szCs w:val="32"/>
        </w:rPr>
        <w:fldChar w:fldCharType="begin"/>
      </w:r>
      <w:r>
        <w:rPr>
          <w:rStyle w:val="18"/>
          <w:rFonts w:hint="eastAsia" w:ascii="方正仿宋简体" w:hAnsi="方正仿宋简体" w:eastAsia="方正仿宋简体" w:cs="方正仿宋简体"/>
          <w:sz w:val="32"/>
          <w:szCs w:val="32"/>
        </w:rPr>
        <w:instrText xml:space="preserve"> HYPERLINK \l "_Toc91769309" </w:instrText>
      </w:r>
      <w:r>
        <w:rPr>
          <w:rStyle w:val="18"/>
          <w:rFonts w:hint="eastAsia" w:ascii="方正仿宋简体" w:hAnsi="方正仿宋简体" w:eastAsia="方正仿宋简体" w:cs="方正仿宋简体"/>
          <w:sz w:val="32"/>
          <w:szCs w:val="32"/>
        </w:rPr>
        <w:fldChar w:fldCharType="separate"/>
      </w:r>
      <w:r>
        <w:rPr>
          <w:rStyle w:val="18"/>
          <w:rFonts w:hint="eastAsia" w:ascii="方正仿宋简体" w:hAnsi="方正仿宋简体" w:eastAsia="方正仿宋简体" w:cs="方正仿宋简体"/>
          <w:sz w:val="32"/>
          <w:szCs w:val="32"/>
        </w:rPr>
        <w:t>第五章 完善应急救援体系</w:t>
      </w:r>
      <w:r>
        <w:rPr>
          <w:rStyle w:val="18"/>
          <w:rFonts w:hint="eastAsia" w:ascii="方正仿宋简体" w:hAnsi="方正仿宋简体" w:eastAsia="方正仿宋简体" w:cs="方正仿宋简体"/>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"_Toc91769310"</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第一节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强化应急预案准备</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"_Toc91769311"</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第二节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加强应急救援力量建设</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"_Toc91769312"</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z w:val="32"/>
          <w:szCs w:val="32"/>
          <w:lang w:eastAsia="zh-CN"/>
        </w:rPr>
        <w:t>第三节</w:t>
      </w:r>
      <w:r>
        <w:rPr>
          <w:rStyle w:val="18"/>
          <w:rFonts w:hint="eastAsia" w:ascii="方正楷体_GBK" w:hAnsi="方正楷体_GBK" w:eastAsia="方正楷体_GBK" w:cs="方正楷体_GBK"/>
          <w:sz w:val="32"/>
          <w:szCs w:val="32"/>
          <w:lang w:val="en-US" w:eastAsia="zh-CN"/>
        </w:rPr>
        <w:t xml:space="preserve"> </w:t>
      </w:r>
      <w:r>
        <w:rPr>
          <w:rStyle w:val="18"/>
          <w:rFonts w:hint="eastAsia" w:ascii="方正楷体_GBK" w:hAnsi="方正楷体_GBK" w:eastAsia="方正楷体_GBK" w:cs="方正楷体_GBK"/>
          <w:spacing w:val="8"/>
          <w:sz w:val="32"/>
          <w:szCs w:val="32"/>
        </w:rPr>
        <w:t>加强应急救援综合保障</w:t>
      </w:r>
      <w:r>
        <w:rPr>
          <w:rStyle w:val="18"/>
          <w:rFonts w:hint="eastAsia" w:ascii="方正楷体_GBK" w:hAnsi="方正楷体_GBK" w:eastAsia="方正楷体_GBK" w:cs="方正楷体_GBK"/>
          <w:sz w:val="32"/>
          <w:szCs w:val="32"/>
        </w:rPr>
        <w:fldChar w:fldCharType="end"/>
      </w:r>
    </w:p>
    <w:p>
      <w:pPr>
        <w:pStyle w:val="12"/>
        <w:keepNext w:val="0"/>
        <w:keepLines w:val="0"/>
        <w:pageBreakBefore w:val="0"/>
        <w:widowControl/>
        <w:tabs>
          <w:tab w:val="left" w:leader="dot" w:pos="10112"/>
        </w:tabs>
        <w:kinsoku/>
        <w:wordWrap/>
        <w:overflowPunct/>
        <w:topLinePunct/>
        <w:autoSpaceDE/>
        <w:autoSpaceDN/>
        <w:bidi w:val="0"/>
        <w:adjustRightInd/>
        <w:snapToGrid/>
        <w:spacing w:line="520" w:lineRule="exact"/>
        <w:textAlignment w:val="auto"/>
        <w:rPr>
          <w:rStyle w:val="18"/>
          <w:rFonts w:hint="eastAsia" w:ascii="方正仿宋简体" w:hAnsi="方正仿宋简体" w:eastAsia="方正仿宋简体" w:cs="方正仿宋简体"/>
          <w:sz w:val="32"/>
          <w:szCs w:val="32"/>
        </w:rPr>
      </w:pPr>
      <w:r>
        <w:rPr>
          <w:rStyle w:val="18"/>
          <w:rFonts w:hint="eastAsia" w:ascii="方正仿宋简体" w:hAnsi="方正仿宋简体" w:eastAsia="方正仿宋简体" w:cs="方正仿宋简体"/>
          <w:sz w:val="32"/>
          <w:szCs w:val="32"/>
        </w:rPr>
        <w:fldChar w:fldCharType="begin"/>
      </w:r>
      <w:r>
        <w:rPr>
          <w:rStyle w:val="18"/>
          <w:rFonts w:hint="eastAsia" w:ascii="方正仿宋简体" w:hAnsi="方正仿宋简体" w:eastAsia="方正仿宋简体" w:cs="方正仿宋简体"/>
          <w:sz w:val="32"/>
          <w:szCs w:val="32"/>
        </w:rPr>
        <w:instrText xml:space="preserve"> HYPERLINK \l "_Toc91769313" </w:instrText>
      </w:r>
      <w:r>
        <w:rPr>
          <w:rStyle w:val="18"/>
          <w:rFonts w:hint="eastAsia" w:ascii="方正仿宋简体" w:hAnsi="方正仿宋简体" w:eastAsia="方正仿宋简体" w:cs="方正仿宋简体"/>
          <w:sz w:val="32"/>
          <w:szCs w:val="32"/>
        </w:rPr>
        <w:fldChar w:fldCharType="separate"/>
      </w:r>
      <w:r>
        <w:rPr>
          <w:rStyle w:val="18"/>
          <w:rFonts w:hint="eastAsia" w:ascii="方正仿宋简体" w:hAnsi="方正仿宋简体" w:eastAsia="方正仿宋简体" w:cs="方正仿宋简体"/>
          <w:sz w:val="32"/>
          <w:szCs w:val="32"/>
        </w:rPr>
        <w:t>第六章 健全应急科技支撑体系</w:t>
      </w:r>
      <w:r>
        <w:rPr>
          <w:rStyle w:val="18"/>
          <w:rFonts w:hint="eastAsia" w:ascii="方正仿宋简体" w:hAnsi="方正仿宋简体" w:eastAsia="方正仿宋简体" w:cs="方正仿宋简体"/>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"_Toc91769314"</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第一节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加强应急科技创新支撑</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"_Toc91769315"</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z w:val="32"/>
          <w:szCs w:val="32"/>
          <w:lang w:eastAsia="zh-CN"/>
        </w:rPr>
        <w:t>第二节</w:t>
      </w:r>
      <w:r>
        <w:rPr>
          <w:rStyle w:val="18"/>
          <w:rFonts w:hint="eastAsia" w:ascii="方正楷体_GBK" w:hAnsi="方正楷体_GBK" w:eastAsia="方正楷体_GBK" w:cs="方正楷体_GBK"/>
          <w:sz w:val="32"/>
          <w:szCs w:val="32"/>
          <w:lang w:val="en-US" w:eastAsia="zh-CN"/>
        </w:rPr>
        <w:t xml:space="preserve"> </w:t>
      </w:r>
      <w:r>
        <w:rPr>
          <w:rStyle w:val="18"/>
          <w:rFonts w:hint="eastAsia" w:ascii="方正楷体_GBK" w:hAnsi="方正楷体_GBK" w:eastAsia="方正楷体_GBK" w:cs="方正楷体_GBK"/>
          <w:spacing w:val="8"/>
          <w:sz w:val="32"/>
          <w:szCs w:val="32"/>
        </w:rPr>
        <w:t>推进应急产业发展</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"_Toc91769316"</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z w:val="32"/>
          <w:szCs w:val="32"/>
          <w:lang w:eastAsia="zh-CN"/>
        </w:rPr>
        <w:t>第三节</w:t>
      </w:r>
      <w:r>
        <w:rPr>
          <w:rStyle w:val="18"/>
          <w:rFonts w:hint="eastAsia" w:ascii="方正楷体_GBK" w:hAnsi="方正楷体_GBK" w:eastAsia="方正楷体_GBK" w:cs="方正楷体_GBK"/>
          <w:sz w:val="32"/>
          <w:szCs w:val="32"/>
          <w:lang w:val="en-US" w:eastAsia="zh-CN"/>
        </w:rPr>
        <w:t xml:space="preserve"> </w:t>
      </w:r>
      <w:r>
        <w:rPr>
          <w:rStyle w:val="18"/>
          <w:rFonts w:hint="eastAsia" w:ascii="方正楷体_GBK" w:hAnsi="方正楷体_GBK" w:eastAsia="方正楷体_GBK" w:cs="方正楷体_GBK"/>
          <w:spacing w:val="8"/>
          <w:sz w:val="32"/>
          <w:szCs w:val="32"/>
        </w:rPr>
        <w:t>夯实应急数字化发展基础</w:t>
      </w:r>
      <w:r>
        <w:rPr>
          <w:rStyle w:val="18"/>
          <w:rFonts w:hint="eastAsia" w:ascii="方正楷体_GBK" w:hAnsi="方正楷体_GBK" w:eastAsia="方正楷体_GBK" w:cs="方正楷体_GBK"/>
          <w:sz w:val="32"/>
          <w:szCs w:val="32"/>
        </w:rPr>
        <w:fldChar w:fldCharType="end"/>
      </w:r>
    </w:p>
    <w:p>
      <w:pPr>
        <w:pStyle w:val="12"/>
        <w:keepNext w:val="0"/>
        <w:keepLines w:val="0"/>
        <w:pageBreakBefore w:val="0"/>
        <w:widowControl/>
        <w:tabs>
          <w:tab w:val="left" w:leader="dot" w:pos="10112"/>
        </w:tabs>
        <w:kinsoku/>
        <w:wordWrap/>
        <w:overflowPunct/>
        <w:topLinePunct/>
        <w:autoSpaceDE/>
        <w:autoSpaceDN/>
        <w:bidi w:val="0"/>
        <w:adjustRightInd/>
        <w:snapToGrid/>
        <w:spacing w:line="520" w:lineRule="exact"/>
        <w:textAlignment w:val="auto"/>
        <w:rPr>
          <w:rStyle w:val="18"/>
          <w:rFonts w:hint="eastAsia" w:ascii="方正仿宋简体" w:hAnsi="方正仿宋简体" w:eastAsia="方正仿宋简体" w:cs="方正仿宋简体"/>
          <w:sz w:val="32"/>
          <w:szCs w:val="32"/>
        </w:rPr>
      </w:pPr>
      <w:r>
        <w:rPr>
          <w:rStyle w:val="18"/>
          <w:rFonts w:hint="eastAsia" w:ascii="方正仿宋简体" w:hAnsi="方正仿宋简体" w:eastAsia="方正仿宋简体" w:cs="方正仿宋简体"/>
          <w:sz w:val="32"/>
          <w:szCs w:val="32"/>
        </w:rPr>
        <w:fldChar w:fldCharType="begin"/>
      </w:r>
      <w:r>
        <w:rPr>
          <w:rStyle w:val="18"/>
          <w:rFonts w:hint="eastAsia" w:ascii="方正仿宋简体" w:hAnsi="方正仿宋简体" w:eastAsia="方正仿宋简体" w:cs="方正仿宋简体"/>
          <w:sz w:val="32"/>
          <w:szCs w:val="32"/>
        </w:rPr>
        <w:instrText xml:space="preserve"> HYPERLINK \l "_Toc91769317" </w:instrText>
      </w:r>
      <w:r>
        <w:rPr>
          <w:rStyle w:val="18"/>
          <w:rFonts w:hint="eastAsia" w:ascii="方正仿宋简体" w:hAnsi="方正仿宋简体" w:eastAsia="方正仿宋简体" w:cs="方正仿宋简体"/>
          <w:sz w:val="32"/>
          <w:szCs w:val="32"/>
        </w:rPr>
        <w:fldChar w:fldCharType="separate"/>
      </w:r>
      <w:r>
        <w:rPr>
          <w:rStyle w:val="18"/>
          <w:rFonts w:hint="eastAsia" w:ascii="方正仿宋简体" w:hAnsi="方正仿宋简体" w:eastAsia="方正仿宋简体" w:cs="方正仿宋简体"/>
          <w:sz w:val="32"/>
          <w:szCs w:val="32"/>
        </w:rPr>
        <w:t>第七章 加强社会治理体系建设</w:t>
      </w:r>
      <w:r>
        <w:rPr>
          <w:rStyle w:val="18"/>
          <w:rFonts w:hint="eastAsia" w:ascii="方正仿宋简体" w:hAnsi="方正仿宋简体" w:eastAsia="方正仿宋简体" w:cs="方正仿宋简体"/>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"_Toc91769318"</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第一节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培育特色应急文化</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"_Toc91769319"</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第二节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发挥社会与市场作用</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"_Toc91769320"</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第三节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创建安全发展城市</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"_Toc91769321"</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第四节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加强综合应急专家队伍建设</w:t>
      </w:r>
      <w:r>
        <w:rPr>
          <w:rStyle w:val="18"/>
          <w:rFonts w:hint="eastAsia" w:ascii="方正楷体_GBK" w:hAnsi="方正楷体_GBK" w:eastAsia="方正楷体_GBK" w:cs="方正楷体_GBK"/>
          <w:sz w:val="32"/>
          <w:szCs w:val="32"/>
        </w:rPr>
        <w:fldChar w:fldCharType="end"/>
      </w:r>
    </w:p>
    <w:p>
      <w:pPr>
        <w:pStyle w:val="12"/>
        <w:keepNext w:val="0"/>
        <w:keepLines w:val="0"/>
        <w:pageBreakBefore w:val="0"/>
        <w:widowControl/>
        <w:tabs>
          <w:tab w:val="left" w:leader="dot" w:pos="10112"/>
        </w:tabs>
        <w:kinsoku/>
        <w:wordWrap/>
        <w:overflowPunct/>
        <w:topLinePunct/>
        <w:autoSpaceDE/>
        <w:autoSpaceDN/>
        <w:bidi w:val="0"/>
        <w:adjustRightInd/>
        <w:snapToGrid/>
        <w:spacing w:line="520" w:lineRule="exact"/>
        <w:textAlignment w:val="auto"/>
        <w:rPr>
          <w:rStyle w:val="18"/>
          <w:rFonts w:hint="eastAsia" w:ascii="方正仿宋简体" w:hAnsi="方正仿宋简体" w:eastAsia="方正仿宋简体" w:cs="方正仿宋简体"/>
          <w:sz w:val="32"/>
          <w:szCs w:val="32"/>
        </w:rPr>
      </w:pPr>
      <w:r>
        <w:rPr>
          <w:rStyle w:val="18"/>
          <w:rFonts w:hint="eastAsia" w:ascii="方正仿宋简体" w:hAnsi="方正仿宋简体" w:eastAsia="方正仿宋简体" w:cs="方正仿宋简体"/>
          <w:sz w:val="32"/>
          <w:szCs w:val="32"/>
        </w:rPr>
        <w:fldChar w:fldCharType="begin"/>
      </w:r>
      <w:r>
        <w:rPr>
          <w:rStyle w:val="18"/>
          <w:rFonts w:hint="eastAsia" w:ascii="方正仿宋简体" w:hAnsi="方正仿宋简体" w:eastAsia="方正仿宋简体" w:cs="方正仿宋简体"/>
          <w:sz w:val="32"/>
          <w:szCs w:val="32"/>
        </w:rPr>
        <w:instrText xml:space="preserve"> HYPERLINK \l "_Toc91769322" </w:instrText>
      </w:r>
      <w:r>
        <w:rPr>
          <w:rStyle w:val="18"/>
          <w:rFonts w:hint="eastAsia" w:ascii="方正仿宋简体" w:hAnsi="方正仿宋简体" w:eastAsia="方正仿宋简体" w:cs="方正仿宋简体"/>
          <w:sz w:val="32"/>
          <w:szCs w:val="32"/>
        </w:rPr>
        <w:fldChar w:fldCharType="separate"/>
      </w:r>
      <w:r>
        <w:rPr>
          <w:rStyle w:val="18"/>
          <w:rFonts w:hint="eastAsia" w:ascii="方正仿宋简体" w:hAnsi="方正仿宋简体" w:eastAsia="方正仿宋简体" w:cs="方正仿宋简体"/>
          <w:sz w:val="32"/>
          <w:szCs w:val="32"/>
        </w:rPr>
        <w:t>第八章 加强基础保障建设</w:t>
      </w:r>
      <w:r>
        <w:rPr>
          <w:rStyle w:val="18"/>
          <w:rFonts w:hint="eastAsia" w:ascii="方正仿宋简体" w:hAnsi="方正仿宋简体" w:eastAsia="方正仿宋简体" w:cs="方正仿宋简体"/>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"_Toc91769323"</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第一节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夯实基层治理基础</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"_Toc91769324"</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第二节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强化应急人才支撑</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"_Toc91769325"</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第三节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严格考核评价体系</w:t>
      </w:r>
      <w:r>
        <w:rPr>
          <w:rStyle w:val="18"/>
          <w:rFonts w:hint="eastAsia" w:ascii="方正楷体_GBK" w:hAnsi="方正楷体_GBK" w:eastAsia="方正楷体_GBK" w:cs="方正楷体_GBK"/>
          <w:sz w:val="32"/>
          <w:szCs w:val="32"/>
        </w:rPr>
        <w:fldChar w:fldCharType="end"/>
      </w:r>
    </w:p>
    <w:p>
      <w:pPr>
        <w:pStyle w:val="12"/>
        <w:keepNext w:val="0"/>
        <w:keepLines w:val="0"/>
        <w:pageBreakBefore w:val="0"/>
        <w:widowControl/>
        <w:tabs>
          <w:tab w:val="left" w:leader="dot" w:pos="10112"/>
        </w:tabs>
        <w:kinsoku/>
        <w:wordWrap/>
        <w:overflowPunct/>
        <w:topLinePunct/>
        <w:autoSpaceDE/>
        <w:autoSpaceDN/>
        <w:bidi w:val="0"/>
        <w:adjustRightInd/>
        <w:snapToGrid/>
        <w:spacing w:line="520" w:lineRule="exact"/>
        <w:textAlignment w:val="auto"/>
        <w:rPr>
          <w:rStyle w:val="18"/>
          <w:rFonts w:hint="eastAsia" w:ascii="方正仿宋简体" w:hAnsi="方正仿宋简体" w:eastAsia="方正仿宋简体" w:cs="方正仿宋简体"/>
          <w:sz w:val="32"/>
          <w:szCs w:val="32"/>
        </w:rPr>
      </w:pPr>
      <w:r>
        <w:rPr>
          <w:rStyle w:val="18"/>
          <w:rFonts w:hint="eastAsia" w:ascii="方正仿宋简体" w:hAnsi="方正仿宋简体" w:eastAsia="方正仿宋简体" w:cs="方正仿宋简体"/>
          <w:sz w:val="32"/>
          <w:szCs w:val="32"/>
        </w:rPr>
        <w:fldChar w:fldCharType="begin"/>
      </w:r>
      <w:r>
        <w:rPr>
          <w:rStyle w:val="18"/>
          <w:rFonts w:hint="eastAsia" w:ascii="方正仿宋简体" w:hAnsi="方正仿宋简体" w:eastAsia="方正仿宋简体" w:cs="方正仿宋简体"/>
          <w:sz w:val="32"/>
          <w:szCs w:val="32"/>
        </w:rPr>
        <w:instrText xml:space="preserve"> HYPERLINK \l "_Toc91769326" </w:instrText>
      </w:r>
      <w:r>
        <w:rPr>
          <w:rStyle w:val="18"/>
          <w:rFonts w:hint="eastAsia" w:ascii="方正仿宋简体" w:hAnsi="方正仿宋简体" w:eastAsia="方正仿宋简体" w:cs="方正仿宋简体"/>
          <w:sz w:val="32"/>
          <w:szCs w:val="32"/>
        </w:rPr>
        <w:fldChar w:fldCharType="separate"/>
      </w:r>
      <w:r>
        <w:rPr>
          <w:rStyle w:val="18"/>
          <w:rFonts w:hint="eastAsia" w:ascii="方正仿宋简体" w:hAnsi="方正仿宋简体" w:eastAsia="方正仿宋简体" w:cs="方正仿宋简体"/>
          <w:sz w:val="32"/>
          <w:szCs w:val="32"/>
        </w:rPr>
        <w:t>第九章 保障措施</w:t>
      </w:r>
      <w:r>
        <w:rPr>
          <w:rStyle w:val="18"/>
          <w:rFonts w:hint="eastAsia" w:ascii="方正仿宋简体" w:hAnsi="方正仿宋简体" w:eastAsia="方正仿宋简体" w:cs="方正仿宋简体"/>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"_Toc91769327"</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第一节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加强组织领导</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"_Toc91769328"</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第二节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健全实施机制</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"_Toc91769329"</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第三节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加强资金保障</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楷体_GBK" w:hAnsi="方正楷体_GBK" w:eastAsia="方正楷体_GBK" w:cs="方正楷体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"_Toc91769330"</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第四节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加强协调衔接</w:t>
      </w:r>
      <w:r>
        <w:rPr>
          <w:rStyle w:val="18"/>
          <w:rFonts w:hint="eastAsia" w:ascii="方正楷体_GBK" w:hAnsi="方正楷体_GBK" w:eastAsia="方正楷体_GBK" w:cs="方正楷体_GBK"/>
          <w:sz w:val="32"/>
          <w:szCs w:val="32"/>
        </w:rPr>
        <w:fldChar w:fldCharType="end"/>
      </w:r>
    </w:p>
    <w:p>
      <w:pPr>
        <w:pStyle w:val="13"/>
        <w:keepNext w:val="0"/>
        <w:keepLines w:val="0"/>
        <w:pageBreakBefore w:val="0"/>
        <w:tabs>
          <w:tab w:val="left" w:leader="dot" w:pos="10112"/>
          <w:tab w:val="clear" w:pos="8296"/>
        </w:tabs>
        <w:kinsoku/>
        <w:overflowPunct/>
        <w:topLinePunct/>
        <w:bidi w:val="0"/>
        <w:spacing w:line="580" w:lineRule="exact"/>
        <w:ind w:left="632"/>
        <w:rPr>
          <w:rFonts w:hint="eastAsia" w:ascii="方正仿宋_GBK" w:hAnsi="方正仿宋_GBK" w:eastAsia="方正仿宋_GBK" w:cs="方正仿宋_GBK"/>
          <w:sz w:val="32"/>
          <w:szCs w:val="32"/>
        </w:rPr>
      </w:pPr>
      <w:r>
        <w:rPr>
          <w:rStyle w:val="18"/>
          <w:rFonts w:hint="eastAsia" w:ascii="方正楷体_GBK" w:hAnsi="方正楷体_GBK" w:eastAsia="方正楷体_GBK" w:cs="方正楷体_GBK"/>
          <w:sz w:val="32"/>
          <w:szCs w:val="32"/>
        </w:rPr>
        <w:fldChar w:fldCharType="begin"/>
      </w:r>
      <w:r>
        <w:rPr>
          <w:rStyle w:val="18"/>
          <w:rFonts w:hint="eastAsia" w:ascii="方正楷体_GBK" w:hAnsi="方正楷体_GBK" w:eastAsia="方正楷体_GBK" w:cs="方正楷体_GBK"/>
          <w:sz w:val="32"/>
          <w:szCs w:val="32"/>
        </w:rPr>
        <w:instrText xml:space="preserve"> </w:instrText>
      </w:r>
      <w:r>
        <w:rPr>
          <w:rFonts w:hint="eastAsia" w:ascii="方正楷体_GBK" w:hAnsi="方正楷体_GBK" w:eastAsia="方正楷体_GBK" w:cs="方正楷体_GBK"/>
          <w:sz w:val="32"/>
          <w:szCs w:val="32"/>
        </w:rPr>
        <w:instrText xml:space="preserve">HYPERLINK \l "_Toc91769331"</w:instrText>
      </w:r>
      <w:r>
        <w:rPr>
          <w:rStyle w:val="18"/>
          <w:rFonts w:hint="eastAsia" w:ascii="方正楷体_GBK" w:hAnsi="方正楷体_GBK" w:eastAsia="方正楷体_GBK" w:cs="方正楷体_GBK"/>
          <w:sz w:val="32"/>
          <w:szCs w:val="32"/>
        </w:rPr>
        <w:instrText xml:space="preserve"> </w:instrText>
      </w:r>
      <w:r>
        <w:rPr>
          <w:rStyle w:val="18"/>
          <w:rFonts w:hint="eastAsia" w:ascii="方正楷体_GBK" w:hAnsi="方正楷体_GBK" w:eastAsia="方正楷体_GBK" w:cs="方正楷体_GBK"/>
          <w:sz w:val="32"/>
          <w:szCs w:val="32"/>
        </w:rPr>
        <w:fldChar w:fldCharType="separate"/>
      </w:r>
      <w:r>
        <w:rPr>
          <w:rStyle w:val="18"/>
          <w:rFonts w:hint="eastAsia" w:ascii="方正楷体_GBK" w:hAnsi="方正楷体_GBK" w:eastAsia="方正楷体_GBK" w:cs="方正楷体_GBK"/>
          <w:spacing w:val="8"/>
          <w:sz w:val="32"/>
          <w:szCs w:val="32"/>
          <w:lang w:eastAsia="zh-CN"/>
        </w:rPr>
        <w:t>第五节</w:t>
      </w:r>
      <w:r>
        <w:rPr>
          <w:rStyle w:val="18"/>
          <w:rFonts w:hint="eastAsia" w:ascii="方正楷体_GBK" w:hAnsi="方正楷体_GBK" w:eastAsia="方正楷体_GBK" w:cs="方正楷体_GBK"/>
          <w:spacing w:val="8"/>
          <w:sz w:val="32"/>
          <w:szCs w:val="32"/>
          <w:lang w:val="en-US" w:eastAsia="zh-CN"/>
        </w:rPr>
        <w:t xml:space="preserve"> </w:t>
      </w:r>
      <w:r>
        <w:rPr>
          <w:rStyle w:val="18"/>
          <w:rFonts w:hint="eastAsia" w:ascii="方正楷体_GBK" w:hAnsi="方正楷体_GBK" w:eastAsia="方正楷体_GBK" w:cs="方正楷体_GBK"/>
          <w:spacing w:val="8"/>
          <w:sz w:val="32"/>
          <w:szCs w:val="32"/>
        </w:rPr>
        <w:t>实施考核评估</w:t>
      </w:r>
      <w:r>
        <w:rPr>
          <w:rStyle w:val="18"/>
          <w:rFonts w:hint="eastAsia" w:ascii="方正楷体_GBK" w:hAnsi="方正楷体_GBK" w:eastAsia="方正楷体_GBK" w:cs="方正楷体_GBK"/>
          <w:sz w:val="32"/>
          <w:szCs w:val="32"/>
        </w:rPr>
        <w:fldChar w:fldCharType="end"/>
      </w:r>
    </w:p>
    <w:p>
      <w:pPr>
        <w:keepNext w:val="0"/>
        <w:keepLines w:val="0"/>
        <w:pageBreakBefore w:val="0"/>
        <w:tabs>
          <w:tab w:val="left" w:leader="dot" w:pos="10112"/>
        </w:tabs>
        <w:kinsoku/>
        <w:overflowPunct/>
        <w:topLinePunct/>
        <w:bidi w:val="0"/>
        <w:adjustRightInd w:val="0"/>
        <w:spacing w:before="289" w:after="289" w:line="580" w:lineRule="exact"/>
        <w:ind w:firstLine="0" w:firstLineChars="0"/>
        <w:rPr>
          <w:rFonts w:hint="eastAsia" w:ascii="方正仿宋_GBK" w:hAnsi="方正仿宋_GBK" w:eastAsia="方正仿宋_GBK" w:cs="方正仿宋_GBK"/>
          <w:sz w:val="32"/>
          <w:szCs w:val="32"/>
        </w:rPr>
        <w:sectPr>
          <w:footerReference r:id="rId3" w:type="default"/>
          <w:footerReference r:id="rId4" w:type="even"/>
          <w:pgSz w:w="11906" w:h="16838"/>
          <w:pgMar w:top="2098" w:right="1474" w:bottom="1701" w:left="1474" w:header="851" w:footer="1417" w:gutter="0"/>
          <w:paperSrc/>
          <w:pgNumType w:fmt="numberInDash"/>
          <w:cols w:space="720" w:num="1"/>
          <w:rtlGutter w:val="0"/>
          <w:docGrid w:type="lines" w:linePitch="312" w:charSpace="0"/>
        </w:sectPr>
      </w:pP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val="0"/>
        <w:topLinePunct w:val="0"/>
        <w:autoSpaceDE w:val="0"/>
        <w:autoSpaceDN w:val="0"/>
        <w:bidi w:val="0"/>
        <w:adjustRightInd w:val="0"/>
        <w:snapToGrid/>
        <w:spacing w:line="580" w:lineRule="exact"/>
        <w:ind w:left="0" w:leftChars="0" w:firstLine="540" w:firstLineChars="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十四五”时期是开启全面建设社会主义现代化国家新征程的第一个五年，也是谱写自治区应急管理事业高质量发展的关键五年。为全面推进自治区应急管理体系和能力现代化，有效防范化解重大安全风险，及时应对处置各类灾害事故，切实保护人民群众生命财产安全和维护社会稳定，依据《中华人民共和国突发事件应对法》</w:t>
      </w:r>
      <w:r>
        <w:rPr>
          <w:rFonts w:hint="eastAsia" w:ascii="方正仿宋_GBK" w:hAnsi="方正仿宋_GBK" w:eastAsia="方正仿宋_GBK" w:cs="方正仿宋_GBK"/>
          <w:sz w:val="32"/>
          <w:szCs w:val="32"/>
        </w:rPr>
        <w:t>《中华人民共和国安全生产法》</w:t>
      </w:r>
      <w:r>
        <w:rPr>
          <w:rFonts w:hint="eastAsia" w:ascii="方正仿宋_GBK" w:hAnsi="方正仿宋_GBK" w:eastAsia="方正仿宋_GBK" w:cs="方正仿宋_GBK"/>
          <w:sz w:val="32"/>
          <w:szCs w:val="32"/>
          <w:shd w:val="clear" w:color="auto" w:fill="FFFFFF"/>
        </w:rPr>
        <w:t>《内蒙古自治区国民经济和社会发展第十四个五年规划和2035年远景目标纲要》《应急管理部关于做好“十四五”应急管理领域专项规划编制工作的通知》（应急函〔2019〕179号）</w:t>
      </w:r>
      <w:r>
        <w:rPr>
          <w:rFonts w:hint="eastAsia" w:ascii="方正仿宋_GBK" w:hAnsi="方正仿宋_GBK" w:eastAsia="方正仿宋_GBK" w:cs="方正仿宋_GBK"/>
          <w:sz w:val="32"/>
          <w:szCs w:val="32"/>
        </w:rPr>
        <w:t>等法律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法规</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shd w:val="clear" w:color="auto" w:fill="FFFFFF"/>
        </w:rPr>
        <w:t>文件精神，结合自治区实际，制定本规划。</w:t>
      </w:r>
    </w:p>
    <w:p>
      <w:pPr>
        <w:keepNext w:val="0"/>
        <w:keepLines w:val="0"/>
        <w:pageBreakBefore w:val="0"/>
        <w:kinsoku/>
        <w:overflowPunct/>
        <w:topLinePunct/>
        <w:bidi w:val="0"/>
        <w:adjustRightInd w:val="0"/>
        <w:spacing w:before="298" w:beforeLines="50" w:after="298" w:afterLines="50" w:line="580" w:lineRule="exact"/>
        <w:jc w:val="center"/>
        <w:outlineLvl w:val="0"/>
        <w:rPr>
          <w:rFonts w:hint="eastAsia" w:ascii="方正黑体_GBK" w:hAnsi="方正黑体_GBK" w:eastAsia="方正黑体_GBK" w:cs="方正黑体_GBK"/>
          <w:sz w:val="32"/>
          <w:szCs w:val="32"/>
        </w:rPr>
      </w:pPr>
      <w:bookmarkStart w:id="9" w:name="_Toc75374655"/>
      <w:bookmarkStart w:id="10" w:name="_Toc32209"/>
      <w:bookmarkStart w:id="11" w:name="_Toc2961"/>
      <w:bookmarkStart w:id="12" w:name="_Toc7997"/>
      <w:bookmarkStart w:id="13" w:name="_Toc29822"/>
      <w:bookmarkStart w:id="14" w:name="_Toc32235"/>
      <w:bookmarkStart w:id="15" w:name="_Toc3136"/>
      <w:bookmarkStart w:id="16" w:name="_Toc24875"/>
      <w:bookmarkStart w:id="17" w:name="_Toc21582"/>
      <w:bookmarkStart w:id="18" w:name="_Toc4214"/>
      <w:bookmarkStart w:id="19" w:name="_Toc3938"/>
      <w:bookmarkStart w:id="20" w:name="_Toc14753"/>
      <w:bookmarkStart w:id="21" w:name="_Toc5790"/>
      <w:bookmarkStart w:id="22" w:name="_Toc9854"/>
      <w:bookmarkStart w:id="23" w:name="_Toc24282"/>
      <w:bookmarkStart w:id="24" w:name="_Toc108"/>
      <w:bookmarkStart w:id="25" w:name="_Toc18011"/>
      <w:bookmarkStart w:id="26" w:name="_Toc28024"/>
      <w:bookmarkStart w:id="27" w:name="_Toc8936"/>
      <w:bookmarkStart w:id="28" w:name="_Toc87346229"/>
      <w:bookmarkStart w:id="29" w:name="_Toc22769"/>
      <w:bookmarkStart w:id="30" w:name="_Toc3845"/>
      <w:bookmarkStart w:id="31" w:name="_Toc3269"/>
      <w:bookmarkStart w:id="32" w:name="_Toc3991"/>
      <w:bookmarkStart w:id="33" w:name="_Toc26892"/>
      <w:bookmarkStart w:id="34" w:name="_Toc23048"/>
      <w:bookmarkStart w:id="35" w:name="_Toc15173"/>
      <w:bookmarkStart w:id="36" w:name="_Toc27866"/>
      <w:bookmarkStart w:id="37" w:name="_Toc21244"/>
      <w:bookmarkStart w:id="38" w:name="_Toc30841"/>
      <w:bookmarkStart w:id="39" w:name="_Toc7992"/>
      <w:bookmarkStart w:id="40" w:name="_Toc16721"/>
      <w:bookmarkStart w:id="41" w:name="_Toc11781"/>
      <w:bookmarkStart w:id="42" w:name="_Toc2085"/>
      <w:bookmarkStart w:id="43" w:name="_Toc19805"/>
      <w:bookmarkStart w:id="44" w:name="_Toc14657"/>
      <w:bookmarkStart w:id="45" w:name="_Toc28126"/>
      <w:bookmarkStart w:id="46" w:name="_Toc32490"/>
      <w:bookmarkStart w:id="47" w:name="_Toc19821"/>
      <w:bookmarkStart w:id="48" w:name="_Toc30672"/>
      <w:bookmarkStart w:id="49" w:name="_Toc5581"/>
      <w:bookmarkStart w:id="50" w:name="_Toc29786"/>
      <w:bookmarkStart w:id="51" w:name="_Toc12809"/>
      <w:bookmarkStart w:id="52" w:name="_Toc22188"/>
      <w:bookmarkStart w:id="53" w:name="_Toc31938"/>
      <w:bookmarkStart w:id="54" w:name="_Toc4971"/>
      <w:bookmarkStart w:id="55" w:name="_Toc23166"/>
      <w:bookmarkStart w:id="56" w:name="_Toc11481"/>
      <w:bookmarkStart w:id="57" w:name="_Toc26058"/>
      <w:bookmarkStart w:id="58" w:name="_Toc25746"/>
      <w:bookmarkStart w:id="59" w:name="_Toc12796"/>
      <w:bookmarkStart w:id="60" w:name="_Toc5964"/>
      <w:bookmarkStart w:id="61" w:name="_Toc30370"/>
      <w:bookmarkStart w:id="62" w:name="_Toc20234"/>
      <w:bookmarkStart w:id="63" w:name="_Toc23621"/>
      <w:bookmarkStart w:id="64" w:name="_Toc6720"/>
      <w:bookmarkStart w:id="65" w:name="_Toc23377"/>
      <w:bookmarkStart w:id="66" w:name="_Toc11734"/>
      <w:bookmarkStart w:id="67" w:name="_Toc3447"/>
      <w:bookmarkStart w:id="68" w:name="_Toc88078906"/>
      <w:bookmarkStart w:id="69" w:name="_Toc91769291"/>
      <w:bookmarkStart w:id="70" w:name="_Toc13490"/>
      <w:bookmarkStart w:id="71" w:name="_Toc19603"/>
      <w:r>
        <w:rPr>
          <w:rFonts w:hint="eastAsia" w:ascii="方正黑体_GBK" w:hAnsi="方正黑体_GBK" w:eastAsia="方正黑体_GBK" w:cs="方正黑体_GBK"/>
          <w:sz w:val="32"/>
          <w:szCs w:val="32"/>
        </w:rPr>
        <w:t xml:space="preserve">第一章 </w:t>
      </w:r>
      <w:bookmarkEnd w:id="9"/>
      <w:r>
        <w:rPr>
          <w:rFonts w:hint="eastAsia" w:ascii="方正黑体_GBK" w:hAnsi="方正黑体_GBK" w:eastAsia="方正黑体_GBK" w:cs="方正黑体_GBK"/>
          <w:sz w:val="32"/>
          <w:szCs w:val="32"/>
        </w:rPr>
        <w:t>现状</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hint="eastAsia" w:ascii="方正黑体_GBK" w:hAnsi="方正黑体_GBK" w:eastAsia="方正黑体_GBK" w:cs="方正黑体_GBK"/>
          <w:sz w:val="32"/>
          <w:szCs w:val="32"/>
        </w:rPr>
        <w:t>与形势</w:t>
      </w:r>
      <w:bookmarkEnd w:id="66"/>
      <w:bookmarkEnd w:id="67"/>
      <w:bookmarkEnd w:id="68"/>
      <w:bookmarkEnd w:id="69"/>
      <w:bookmarkEnd w:id="70"/>
      <w:bookmarkEnd w:id="71"/>
    </w:p>
    <w:p>
      <w:pPr>
        <w:keepNext w:val="0"/>
        <w:keepLines w:val="0"/>
        <w:pageBreakBefore w:val="0"/>
        <w:kinsoku/>
        <w:overflowPunct/>
        <w:topLinePunct/>
        <w:autoSpaceDE w:val="0"/>
        <w:autoSpaceDN w:val="0"/>
        <w:bidi w:val="0"/>
        <w:adjustRightInd w:val="0"/>
        <w:spacing w:after="298" w:afterLines="50" w:line="580" w:lineRule="exact"/>
        <w:jc w:val="center"/>
        <w:outlineLvl w:val="1"/>
        <w:rPr>
          <w:rFonts w:hint="eastAsia" w:ascii="方正楷体_GBK" w:hAnsi="方正楷体_GBK" w:eastAsia="方正楷体_GBK" w:cs="方正楷体_GBK"/>
          <w:spacing w:val="8"/>
          <w:sz w:val="32"/>
          <w:szCs w:val="32"/>
        </w:rPr>
      </w:pPr>
      <w:bookmarkStart w:id="72" w:name="_Toc18897"/>
      <w:bookmarkStart w:id="73" w:name="_Toc2331"/>
      <w:bookmarkStart w:id="74" w:name="_Toc8830"/>
      <w:bookmarkStart w:id="75" w:name="_Toc5860"/>
      <w:bookmarkStart w:id="76" w:name="_Toc24516"/>
      <w:bookmarkStart w:id="77" w:name="_Toc5084"/>
      <w:bookmarkStart w:id="78" w:name="_Toc19047"/>
      <w:bookmarkStart w:id="79" w:name="_Toc22179"/>
      <w:bookmarkStart w:id="80" w:name="_Toc2171"/>
      <w:bookmarkStart w:id="81" w:name="_Toc29840"/>
      <w:bookmarkStart w:id="82" w:name="_Toc29243"/>
      <w:bookmarkStart w:id="83" w:name="_Toc19700"/>
      <w:bookmarkStart w:id="84" w:name="_Toc11947"/>
      <w:bookmarkStart w:id="85" w:name="_Toc31296"/>
      <w:bookmarkStart w:id="86" w:name="_Toc11607"/>
      <w:bookmarkStart w:id="87" w:name="_Toc17292"/>
      <w:bookmarkStart w:id="88" w:name="_Toc28213"/>
      <w:bookmarkStart w:id="89" w:name="_Toc5178"/>
      <w:bookmarkStart w:id="90" w:name="_Toc9997"/>
      <w:bookmarkStart w:id="91" w:name="_Toc11216"/>
      <w:bookmarkStart w:id="92" w:name="_Toc6718"/>
      <w:bookmarkStart w:id="93" w:name="_Toc5705"/>
      <w:bookmarkStart w:id="94" w:name="_Toc1777"/>
      <w:bookmarkStart w:id="95" w:name="_Toc22094"/>
      <w:bookmarkStart w:id="96" w:name="_Toc242"/>
      <w:bookmarkStart w:id="97" w:name="_Toc12033"/>
      <w:bookmarkStart w:id="98" w:name="_Toc20921"/>
      <w:bookmarkStart w:id="99" w:name="_Toc25013"/>
      <w:bookmarkStart w:id="100" w:name="_Toc9827"/>
      <w:bookmarkStart w:id="101" w:name="_Toc3134"/>
      <w:bookmarkStart w:id="102" w:name="_Toc25685"/>
      <w:bookmarkStart w:id="103" w:name="_Toc26243"/>
      <w:bookmarkStart w:id="104" w:name="_Toc29728"/>
      <w:bookmarkStart w:id="105" w:name="_Toc87346230"/>
      <w:bookmarkStart w:id="106" w:name="_Toc18376"/>
      <w:bookmarkStart w:id="107" w:name="_Toc25157"/>
      <w:bookmarkStart w:id="108" w:name="_Toc4039"/>
      <w:bookmarkStart w:id="109" w:name="_Toc22562"/>
      <w:bookmarkStart w:id="110" w:name="_Toc28149"/>
      <w:bookmarkStart w:id="111" w:name="_Toc9459"/>
      <w:bookmarkStart w:id="112" w:name="_Toc23284"/>
      <w:bookmarkStart w:id="113" w:name="_Toc26858"/>
      <w:bookmarkStart w:id="114" w:name="_Toc19103"/>
      <w:bookmarkStart w:id="115" w:name="_Toc2174"/>
      <w:bookmarkStart w:id="116" w:name="_Toc4702"/>
      <w:bookmarkStart w:id="117" w:name="_Toc26297"/>
      <w:bookmarkStart w:id="118" w:name="_Toc8810"/>
      <w:bookmarkStart w:id="119" w:name="_Toc23609"/>
      <w:bookmarkStart w:id="120" w:name="_Toc17635"/>
      <w:bookmarkStart w:id="121" w:name="_Toc30222"/>
      <w:bookmarkStart w:id="122" w:name="_Toc19790"/>
      <w:bookmarkStart w:id="123" w:name="_Toc28571"/>
      <w:bookmarkStart w:id="124" w:name="_Toc22242"/>
      <w:bookmarkStart w:id="125" w:name="_Toc17576"/>
      <w:bookmarkStart w:id="126" w:name="_Toc27158"/>
      <w:bookmarkStart w:id="127" w:name="_Toc6132"/>
      <w:bookmarkStart w:id="128" w:name="_Toc12659"/>
      <w:bookmarkStart w:id="129" w:name="_Toc91769292"/>
      <w:bookmarkStart w:id="130" w:name="_Toc4390"/>
      <w:bookmarkStart w:id="131" w:name="_Toc4491"/>
      <w:bookmarkStart w:id="132" w:name="_Toc6325"/>
      <w:bookmarkStart w:id="133" w:name="_Toc88078907"/>
      <w:r>
        <w:rPr>
          <w:rFonts w:hint="eastAsia" w:ascii="方正楷体_GBK" w:hAnsi="方正楷体_GBK" w:eastAsia="方正楷体_GBK" w:cs="方正楷体_GBK"/>
          <w:spacing w:val="8"/>
          <w:sz w:val="32"/>
          <w:szCs w:val="32"/>
          <w:lang w:eastAsia="zh-CN"/>
        </w:rPr>
        <w:t>第一节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“十三五”取得的</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方正楷体_GBK" w:hAnsi="方正楷体_GBK" w:eastAsia="方正楷体_GBK" w:cs="方正楷体_GBK"/>
          <w:spacing w:val="8"/>
          <w:sz w:val="32"/>
          <w:szCs w:val="32"/>
        </w:rPr>
        <w:t>成效</w:t>
      </w:r>
      <w:bookmarkEnd w:id="128"/>
      <w:bookmarkEnd w:id="129"/>
      <w:bookmarkEnd w:id="130"/>
      <w:bookmarkEnd w:id="131"/>
      <w:bookmarkEnd w:id="132"/>
      <w:bookmarkEnd w:id="133"/>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482" w:firstLineChars="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“十三五”时期，全区上下深入贯彻习近平总书记关于应急管理重要论述，认真落实党中央、国务院决策部署</w:t>
      </w:r>
      <w:r>
        <w:rPr>
          <w:rFonts w:hint="eastAsia" w:ascii="方正仿宋_GBK" w:hAnsi="方正仿宋_GBK" w:eastAsia="方正仿宋_GBK" w:cs="方正仿宋_GBK"/>
          <w:sz w:val="32"/>
          <w:szCs w:val="32"/>
          <w:shd w:val="clear" w:color="auto" w:fill="FFFFFF"/>
          <w:lang w:eastAsia="zh-CN"/>
        </w:rPr>
        <w:t>及</w:t>
      </w:r>
      <w:r>
        <w:rPr>
          <w:rFonts w:hint="eastAsia" w:ascii="方正仿宋_GBK" w:hAnsi="方正仿宋_GBK" w:eastAsia="方正仿宋_GBK" w:cs="方正仿宋_GBK"/>
          <w:sz w:val="32"/>
          <w:szCs w:val="32"/>
          <w:shd w:val="clear" w:color="auto" w:fill="FFFFFF"/>
        </w:rPr>
        <w:t>自治区党委</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政府工作要求，坚持以人民为中心的发展思想，牢固树立安全</w:t>
      </w:r>
      <w:r>
        <w:rPr>
          <w:rFonts w:hint="eastAsia" w:ascii="方正仿宋_GBK" w:hAnsi="方正仿宋_GBK" w:eastAsia="方正仿宋_GBK" w:cs="方正仿宋_GBK"/>
          <w:spacing w:val="-6"/>
          <w:sz w:val="32"/>
          <w:szCs w:val="32"/>
          <w:shd w:val="clear" w:color="auto" w:fill="FFFFFF"/>
        </w:rPr>
        <w:t>发展理念，采取一系列有力有效举措加强和改进应急管理工作，应</w:t>
      </w:r>
      <w:r>
        <w:rPr>
          <w:rFonts w:hint="eastAsia" w:ascii="方正仿宋_GBK" w:hAnsi="方正仿宋_GBK" w:eastAsia="方正仿宋_GBK" w:cs="方正仿宋_GBK"/>
          <w:sz w:val="32"/>
          <w:szCs w:val="32"/>
          <w:shd w:val="clear" w:color="auto" w:fill="FFFFFF"/>
        </w:rPr>
        <w:t>急管理事业发展取得新进展新成效。与“十二五”时期相比，全区各类生产安全事故共造成4124人死亡，同比减少3039人，较大事故90起，同比减少102起，实现逐年下降；因自然灾害死亡失踪人口、紧急转移安置人口、倒塌房屋数量、直接经济损失占国内生产总值的比重分别同比下降了64.3%、52.4%、84.1%、14.3%，达到预期效果。“十三五”规划目标的顺利实现，为“十四五”时期持续推动应急管理体系和能力现代化奠定了坚实基础。</w:t>
      </w:r>
    </w:p>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应急管理体系基本形成。自治区、盟市、旗县（市、区）应急管理部门全部成立，调整完善各级安委会、减灾委、防汛抗旱指挥部、森林草原防灭火指挥部等议事机构组织架构和运行规则，健全完善会商研判、监测预警、信息共享、救援联动、灾后共助等一系列制度机制，上下对应、左右协同的应急管理组织指挥体系基本形成，</w:t>
      </w:r>
      <w:bookmarkStart w:id="134" w:name="_Hlk88055772"/>
      <w:r>
        <w:rPr>
          <w:rFonts w:hint="eastAsia" w:ascii="方正仿宋_GBK" w:hAnsi="方正仿宋_GBK" w:eastAsia="方正仿宋_GBK" w:cs="方正仿宋_GBK"/>
          <w:sz w:val="32"/>
          <w:szCs w:val="32"/>
          <w:shd w:val="clear" w:color="auto" w:fill="FFFFFF"/>
        </w:rPr>
        <w:t>统一指挥、专常兼备、反应灵敏、上下联动</w:t>
      </w:r>
      <w:bookmarkEnd w:id="134"/>
      <w:r>
        <w:rPr>
          <w:rFonts w:hint="eastAsia" w:ascii="方正仿宋_GBK" w:hAnsi="方正仿宋_GBK" w:eastAsia="方正仿宋_GBK" w:cs="方正仿宋_GBK"/>
          <w:sz w:val="32"/>
          <w:szCs w:val="32"/>
          <w:shd w:val="clear" w:color="auto" w:fill="FFFFFF"/>
        </w:rPr>
        <w:t>的应急管理体制正在加速构建，新体制新机制新队伍运行总体有序、优势日益显现。</w:t>
      </w:r>
    </w:p>
    <w:p>
      <w:pPr>
        <w:keepNext w:val="0"/>
        <w:keepLines w:val="0"/>
        <w:pageBreakBefore w:val="0"/>
        <w:kinsoku/>
        <w:overflowPunct/>
        <w:topLinePunct/>
        <w:bidi w:val="0"/>
        <w:adjustRightInd w:val="0"/>
        <w:spacing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安全生产水平稳步提高。</w:t>
      </w:r>
      <w:r>
        <w:rPr>
          <w:rFonts w:hint="eastAsia" w:ascii="方正仿宋_GBK" w:hAnsi="方正仿宋_GBK" w:eastAsia="方正仿宋_GBK" w:cs="方正仿宋_GBK"/>
          <w:sz w:val="32"/>
          <w:szCs w:val="32"/>
        </w:rPr>
        <w:t>出台《</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自治区安全生产条例》《</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自治区党政领导干部安全生产责任制实施细则》《</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自治区落实生产经营单位安全生产主体责任规定》等法规和</w:t>
      </w:r>
      <w:r>
        <w:rPr>
          <w:rFonts w:hint="eastAsia" w:ascii="方正仿宋_GBK" w:hAnsi="方正仿宋_GBK" w:eastAsia="方正仿宋_GBK" w:cs="方正仿宋_GBK"/>
          <w:spacing w:val="-6"/>
          <w:sz w:val="32"/>
          <w:szCs w:val="32"/>
        </w:rPr>
        <w:t>政策，完善考核巡查、警示约谈、事故查处、失信惩戒等制度，推动各方安全生产责任有效落实。严格产业准入，强化源头治理，实施</w:t>
      </w:r>
      <w:r>
        <w:rPr>
          <w:rFonts w:hint="eastAsia" w:ascii="方正仿宋_GBK" w:hAnsi="方正仿宋_GBK" w:eastAsia="方正仿宋_GBK" w:cs="方正仿宋_GBK"/>
          <w:sz w:val="32"/>
          <w:szCs w:val="32"/>
        </w:rPr>
        <w:t>安全生产专项整治三年行动，强力推动煤矿落后产能淘汰，常态化开展危险化学品、非煤矿山安全风险评估，持续深化交通运输、建筑施工、消防火灾、城镇燃气、冶金工贸等重点行业领域安全专项整治，安全生产形势总体稳定可控。</w:t>
      </w:r>
    </w:p>
    <w:p>
      <w:pPr>
        <w:keepNext w:val="0"/>
        <w:keepLines w:val="0"/>
        <w:pageBreakBefore w:val="0"/>
        <w:kinsoku/>
        <w:overflowPunct/>
        <w:topLinePunct/>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救援力量和保障能力不断提升。全力支持国家综合性消防救援队伍转型强能，组建森林草原防灭火、防汛抗旱、地震地质等自治区区域性专业应急救援队伍，全区共有地方应急救援队伍936支、8.06万人，初步建立以国家综合性消防救援队伍为主力、以专业救援队伍为协同、以军队和武警部队为突击、以社会力量为辅助的应急救援力量体系。加大应急救灾物资增储力度，优化储备布局，基本形成三级救灾物资储备格局。积极推进灾害事故风险基层网格化管理，成立自治区应急管理融媒体中心，组建宣传监督骨干队伍，共建共治共享能力进一步加强，全民安全意识不断提高。</w:t>
      </w:r>
    </w:p>
    <w:p>
      <w:pPr>
        <w:keepNext w:val="0"/>
        <w:keepLines w:val="0"/>
        <w:pageBreakBefore w:val="0"/>
        <w:widowControl w:val="0"/>
        <w:shd w:val="clear" w:color="auto" w:fill="FFFFFF"/>
        <w:kinsoku/>
        <w:wordWrap/>
        <w:overflowPunct w:val="0"/>
        <w:topLinePunct/>
        <w:autoSpaceDE/>
        <w:autoSpaceDN/>
        <w:bidi w:val="0"/>
        <w:adjustRightInd w:val="0"/>
        <w:snapToGrid/>
        <w:spacing w:line="580" w:lineRule="exact"/>
        <w:ind w:firstLine="66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自然灾害防治能力不断提升。</w:t>
      </w:r>
      <w:r>
        <w:rPr>
          <w:rFonts w:hint="eastAsia" w:ascii="方正仿宋_GBK" w:hAnsi="方正仿宋_GBK" w:eastAsia="方正仿宋_GBK" w:cs="方正仿宋_GBK"/>
          <w:sz w:val="32"/>
          <w:szCs w:val="32"/>
        </w:rPr>
        <w:t>建立自治区自然灾害防治厅际联席会议制度，推进自然灾害防治重点工程，启动全区第一次全国自然灾害综合风险普查，实施重点生态功能区生态修复、中小河流治理、地震易发区房屋加固、农牧区危房改造等重点工程，</w:t>
      </w:r>
      <w:r>
        <w:rPr>
          <w:rFonts w:hint="eastAsia" w:ascii="方正仿宋_GBK" w:hAnsi="方正仿宋_GBK" w:eastAsia="方正仿宋_GBK" w:cs="方正仿宋_GBK"/>
          <w:spacing w:val="-6"/>
          <w:sz w:val="32"/>
          <w:szCs w:val="32"/>
        </w:rPr>
        <w:t>气象、水文、地震、地质等灾害监测预警网络基本形成。积极创建全国综合减灾示范社区，建立“自治区</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盟市</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旗县（市、区）</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z w:val="32"/>
          <w:szCs w:val="32"/>
        </w:rPr>
        <w:t>苏木乡镇（街道）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嘎查村（社区）”五级1.7万名灾害信息员队伍，规范自然灾害救助全过程管理。</w:t>
      </w:r>
      <w:bookmarkStart w:id="135" w:name="_Toc22969"/>
      <w:bookmarkStart w:id="136" w:name="_Toc20640"/>
      <w:bookmarkStart w:id="137" w:name="_Toc20555"/>
    </w:p>
    <w:p>
      <w:pPr>
        <w:keepNext w:val="0"/>
        <w:keepLines w:val="0"/>
        <w:pageBreakBefore w:val="0"/>
        <w:kinsoku/>
        <w:overflowPunct/>
        <w:topLinePunct/>
        <w:bidi w:val="0"/>
        <w:adjustRightInd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38" w:name="_Toc13090"/>
      <w:bookmarkStart w:id="139" w:name="_Toc13100"/>
      <w:bookmarkStart w:id="140" w:name="_Toc31843"/>
      <w:bookmarkStart w:id="141" w:name="_Toc4032"/>
      <w:bookmarkStart w:id="142" w:name="_Toc13069"/>
      <w:bookmarkStart w:id="143" w:name="_Toc2210"/>
      <w:bookmarkStart w:id="144" w:name="_Toc27046"/>
      <w:bookmarkStart w:id="145" w:name="_Toc6731"/>
      <w:bookmarkStart w:id="146" w:name="_Toc16925"/>
      <w:bookmarkStart w:id="147" w:name="_Toc23767"/>
      <w:bookmarkStart w:id="148" w:name="_Toc8109"/>
      <w:bookmarkStart w:id="149" w:name="_Toc87346231"/>
      <w:bookmarkStart w:id="150" w:name="_Toc26657"/>
      <w:bookmarkStart w:id="151" w:name="_Toc22345"/>
      <w:bookmarkStart w:id="152" w:name="_Toc29963"/>
      <w:bookmarkStart w:id="153" w:name="_Toc25944"/>
      <w:bookmarkStart w:id="154" w:name="_Toc19246"/>
      <w:bookmarkStart w:id="155" w:name="_Toc26198"/>
      <w:bookmarkStart w:id="156" w:name="_Toc12980"/>
      <w:bookmarkStart w:id="157" w:name="_Toc16552"/>
      <w:bookmarkStart w:id="158" w:name="_Toc15944"/>
      <w:bookmarkStart w:id="159" w:name="_Toc27144"/>
      <w:bookmarkStart w:id="160" w:name="_Toc6982"/>
      <w:bookmarkStart w:id="161" w:name="_Toc18477"/>
      <w:bookmarkStart w:id="162" w:name="_Toc2914"/>
      <w:bookmarkStart w:id="163" w:name="_Toc91769293"/>
      <w:bookmarkStart w:id="164" w:name="_Toc23405"/>
      <w:bookmarkStart w:id="165" w:name="_Toc1029"/>
      <w:bookmarkStart w:id="166" w:name="_Toc19248"/>
      <w:bookmarkStart w:id="167" w:name="_Toc14636"/>
      <w:bookmarkStart w:id="168" w:name="_Toc21770"/>
      <w:bookmarkStart w:id="169" w:name="_Toc23924"/>
      <w:bookmarkStart w:id="170" w:name="_Toc4961"/>
      <w:bookmarkStart w:id="171" w:name="_Toc92"/>
      <w:bookmarkStart w:id="172" w:name="_Toc1762"/>
      <w:bookmarkStart w:id="173" w:name="_Toc30395"/>
      <w:bookmarkStart w:id="174" w:name="_Toc23664"/>
      <w:bookmarkStart w:id="175" w:name="_Toc14280"/>
      <w:bookmarkStart w:id="176" w:name="_Toc568"/>
      <w:bookmarkStart w:id="177" w:name="_Toc27892"/>
      <w:bookmarkStart w:id="178" w:name="_Toc88078908"/>
      <w:bookmarkStart w:id="179" w:name="_Toc11026"/>
      <w:bookmarkStart w:id="180" w:name="_Toc11984"/>
      <w:bookmarkStart w:id="181" w:name="_Toc29350"/>
      <w:bookmarkStart w:id="182" w:name="_Toc29317"/>
      <w:bookmarkStart w:id="183" w:name="_Toc1798"/>
      <w:bookmarkStart w:id="184" w:name="_Toc8841"/>
      <w:bookmarkStart w:id="185" w:name="_Toc25969"/>
      <w:bookmarkStart w:id="186" w:name="_Toc29192"/>
      <w:bookmarkStart w:id="187" w:name="_Toc18082"/>
      <w:bookmarkStart w:id="188" w:name="_Toc4403"/>
      <w:bookmarkStart w:id="189" w:name="_Toc12309"/>
      <w:bookmarkStart w:id="190" w:name="_Toc12842"/>
      <w:bookmarkStart w:id="191" w:name="_Toc16349"/>
      <w:bookmarkStart w:id="192" w:name="_Toc16166"/>
      <w:bookmarkStart w:id="193" w:name="_Toc9931"/>
      <w:bookmarkStart w:id="194" w:name="_Toc24166"/>
      <w:bookmarkStart w:id="195" w:name="_Toc13719"/>
      <w:bookmarkStart w:id="196" w:name="_Toc20644"/>
      <w:r>
        <w:rPr>
          <w:rFonts w:hint="eastAsia" w:ascii="方正楷体_GBK" w:hAnsi="方正楷体_GBK" w:eastAsia="方正楷体_GBK" w:cs="方正楷体_GBK"/>
          <w:spacing w:val="8"/>
          <w:sz w:val="32"/>
          <w:szCs w:val="32"/>
          <w:lang w:eastAsia="zh-CN"/>
        </w:rPr>
        <w:t>第二节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“十四五”面临的挑战</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keepNext w:val="0"/>
        <w:keepLines w:val="0"/>
        <w:pageBreakBefore w:val="0"/>
        <w:widowControl w:val="0"/>
        <w:kinsoku/>
        <w:wordWrap/>
        <w:overflowPunct/>
        <w:topLinePunct w:val="0"/>
        <w:autoSpaceDE/>
        <w:autoSpaceDN/>
        <w:bidi w:val="0"/>
        <w:adjustRightInd w:val="0"/>
        <w:snapToGrid/>
        <w:spacing w:line="580" w:lineRule="exact"/>
        <w:ind w:firstLine="629"/>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“十四五”时期，全区安全生产形势依然严峻、风险防控难度日益增加、应急基础建设尚需加强，应急管理工作依然面临严峻挑战。</w:t>
      </w:r>
    </w:p>
    <w:p>
      <w:pPr>
        <w:keepNext w:val="0"/>
        <w:keepLines w:val="0"/>
        <w:pageBreakBefore w:val="0"/>
        <w:widowControl w:val="0"/>
        <w:shd w:val="clear" w:color="auto" w:fill="FFFFFF"/>
        <w:kinsoku/>
        <w:wordWrap/>
        <w:overflowPunct/>
        <w:topLinePunct/>
        <w:autoSpaceDE/>
        <w:autoSpaceDN/>
        <w:bidi w:val="0"/>
        <w:adjustRightInd w:val="0"/>
        <w:snapToGrid/>
        <w:spacing w:line="580" w:lineRule="exact"/>
        <w:ind w:firstLine="664"/>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安全生产形势依然严峻。</w:t>
      </w:r>
      <w:r>
        <w:rPr>
          <w:rFonts w:hint="eastAsia" w:ascii="方正仿宋_GBK" w:hAnsi="方正仿宋_GBK" w:eastAsia="方正仿宋_GBK" w:cs="方正仿宋_GBK"/>
          <w:sz w:val="32"/>
          <w:szCs w:val="32"/>
        </w:rPr>
        <w:t>安全生产正处在复杂期、转型期、磨合期，生产经营单位贯彻新发展理念的决心还不够坚定，人民至上、生命至上的理念还没有牢固树立，与新发展方式还不匹配，安全风险存量和增量依然较大，本质安全所需要的人员素质、法规标准、科技装备等条件仍然薄弱。安全生产责任落实存在层层递减现象，统筹抓好安全生产与全灾种应急、把稳安全生产基本盘的能力亟待提高。安全生产监管执法体制机制改革进入深层次，监管执法力量少、质量弱的基层监管现状没有得到根本改善，机构改革导致安全监管力量摊薄</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情况仍不同程度存在。安全生产信息化、智慧化发展滞后全区工业化水平，先进技术、工艺、设备推广应用还不能满足企业生产和监管工作的现实需要。各类事故风险耦合、叠加、关联显著增强，极易引发系统性风险，有效防范化解重大安全风险的形势严峻复杂。</w:t>
      </w:r>
    </w:p>
    <w:p>
      <w:pPr>
        <w:keepNext w:val="0"/>
        <w:keepLines w:val="0"/>
        <w:pageBreakBefore w:val="0"/>
        <w:kinsoku/>
        <w:overflowPunct/>
        <w:topLinePunct/>
        <w:bidi w:val="0"/>
        <w:adjustRightInd w:val="0"/>
        <w:spacing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风险防控难度日益增大。</w:t>
      </w:r>
      <w:r>
        <w:rPr>
          <w:rFonts w:hint="eastAsia" w:ascii="方正仿宋_GBK" w:hAnsi="方正仿宋_GBK" w:eastAsia="方正仿宋_GBK" w:cs="方正仿宋_GBK"/>
          <w:sz w:val="32"/>
          <w:szCs w:val="32"/>
        </w:rPr>
        <w:t>全区自然环境复杂多样，黄河凌汛、局地强降雨、旱涝急转、森林草原火灾、中西部旱灾等自然灾害频繁发生。全区部分蓄滞洪区尚未建成或达标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启用困难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分洪效率较低，水库病险多、调蓄能力有限，山洪灾害点多面广、预报预警难度大，抗旱应急水源工程不完善，地震灾害风险防治能力不足，大部分农村牧区和部分城市老旧建筑未达到设防标准。呼包鄂乌城市群</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通辽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赤峰区域中心城市加快建设，城市系统和结构日趋复杂，建筑和城市基础设施进入更新期，城镇燃气管网和设施建设大幅加强，人员密集场所、城市低洼地、高层建筑等城市安全危险源体量不断增加。新材料产业、新型化工业等新业态、新模式日益涌现，传统风险与新型风险交织叠加，耦合性进一步增强，风险防控难度加大。</w:t>
      </w:r>
    </w:p>
    <w:p>
      <w:pPr>
        <w:keepNext w:val="0"/>
        <w:keepLines w:val="0"/>
        <w:pageBreakBefore w:val="0"/>
        <w:kinsoku/>
        <w:overflowPunct/>
        <w:topLinePunct/>
        <w:bidi w:val="0"/>
        <w:adjustRightInd w:val="0"/>
        <w:spacing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应急基础依然薄弱。</w:t>
      </w:r>
      <w:r>
        <w:rPr>
          <w:rFonts w:hint="eastAsia" w:ascii="方正仿宋_GBK" w:hAnsi="方正仿宋_GBK" w:eastAsia="方正仿宋_GBK" w:cs="方正仿宋_GBK"/>
          <w:sz w:val="32"/>
          <w:szCs w:val="32"/>
        </w:rPr>
        <w:t>应急管理体制机制还不够完善，“统与分”“防与救”的衔接配合机制作用发挥不够充分，统筹协调各级政府、各专业领域应急资源共同应对自然灾害和事故灾难的合作机制有待进一步加强。自然灾害防治和安全生产投入不足，不能完全满足实际需求。应急力量不足、应急装备水平不高、救援人员专业技能培训和实战演练还较欠缺。应急物资储备、紧急运输、科技支撑等保障还不完善。林区牧区公网通信覆盖不足、基层应急基础薄弱，社会动员及公众防灾能力有待进一步提升。</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97" w:name="_Toc91769294"/>
      <w:bookmarkStart w:id="198" w:name="_Toc6791"/>
      <w:bookmarkStart w:id="199" w:name="_Toc22916"/>
      <w:bookmarkStart w:id="200" w:name="_Toc23946"/>
      <w:bookmarkStart w:id="201" w:name="_Toc32347"/>
      <w:bookmarkStart w:id="202" w:name="_Toc15502"/>
      <w:bookmarkStart w:id="203" w:name="_Toc22434"/>
      <w:bookmarkStart w:id="204" w:name="_Toc4357"/>
      <w:bookmarkStart w:id="205" w:name="_Toc27792"/>
      <w:bookmarkStart w:id="206" w:name="_Toc30260"/>
      <w:bookmarkStart w:id="207" w:name="_Toc24327"/>
      <w:bookmarkStart w:id="208" w:name="_Toc12267"/>
      <w:bookmarkStart w:id="209" w:name="_Toc5479"/>
      <w:bookmarkStart w:id="210" w:name="_Toc29959"/>
      <w:bookmarkStart w:id="211" w:name="_Toc26313"/>
      <w:bookmarkStart w:id="212" w:name="_Toc13547"/>
      <w:bookmarkStart w:id="213" w:name="_Toc23947"/>
      <w:bookmarkStart w:id="214" w:name="_Toc13107"/>
      <w:bookmarkStart w:id="215" w:name="_Toc32238"/>
      <w:bookmarkStart w:id="216" w:name="_Toc26884"/>
      <w:bookmarkStart w:id="217" w:name="_Toc24485"/>
      <w:bookmarkStart w:id="218" w:name="_Toc32057"/>
      <w:bookmarkStart w:id="219" w:name="_Toc16015"/>
      <w:bookmarkStart w:id="220" w:name="_Toc16250"/>
      <w:bookmarkStart w:id="221" w:name="_Toc15067"/>
      <w:bookmarkStart w:id="222" w:name="_Toc14980"/>
      <w:bookmarkStart w:id="223" w:name="_Toc4685"/>
      <w:bookmarkStart w:id="224" w:name="_Toc6137"/>
      <w:bookmarkStart w:id="225" w:name="_Toc38232490"/>
      <w:bookmarkStart w:id="226" w:name="_Toc21881"/>
      <w:bookmarkStart w:id="227" w:name="_Toc23661"/>
      <w:bookmarkStart w:id="228" w:name="_Toc30641"/>
      <w:bookmarkStart w:id="229" w:name="_Toc25763"/>
      <w:bookmarkStart w:id="230" w:name="_Toc29924"/>
      <w:bookmarkStart w:id="231" w:name="_Toc32710"/>
      <w:bookmarkStart w:id="232" w:name="_Toc26653"/>
      <w:bookmarkStart w:id="233" w:name="_Toc13224"/>
      <w:bookmarkStart w:id="234" w:name="_Toc8421"/>
      <w:bookmarkStart w:id="235" w:name="_Toc26626"/>
      <w:bookmarkStart w:id="236" w:name="_Toc26955"/>
      <w:bookmarkStart w:id="237" w:name="_Toc23430"/>
      <w:bookmarkStart w:id="238" w:name="_Toc8570"/>
      <w:bookmarkStart w:id="239" w:name="_Toc23297"/>
      <w:bookmarkStart w:id="240" w:name="_Toc28374"/>
      <w:bookmarkStart w:id="241" w:name="_Toc3494"/>
      <w:bookmarkStart w:id="242" w:name="_Toc23371"/>
      <w:bookmarkStart w:id="243" w:name="_Toc16069"/>
      <w:bookmarkStart w:id="244" w:name="_Toc88078909"/>
      <w:bookmarkStart w:id="245" w:name="_Toc17149"/>
      <w:bookmarkStart w:id="246" w:name="_Toc75374661"/>
      <w:bookmarkStart w:id="247" w:name="_Toc22264"/>
      <w:bookmarkStart w:id="248" w:name="_Toc22791"/>
      <w:bookmarkStart w:id="249" w:name="_Toc2179"/>
      <w:bookmarkStart w:id="250" w:name="_Toc30253"/>
      <w:bookmarkStart w:id="251" w:name="_Toc45184898"/>
      <w:bookmarkStart w:id="252" w:name="_Toc30712"/>
      <w:bookmarkStart w:id="253" w:name="_Toc29163"/>
      <w:bookmarkStart w:id="254" w:name="_Toc18016"/>
      <w:bookmarkStart w:id="255" w:name="_Toc22568"/>
      <w:bookmarkStart w:id="256" w:name="_Toc1252"/>
      <w:bookmarkStart w:id="257" w:name="_Toc4815"/>
      <w:bookmarkStart w:id="258" w:name="_Toc87346232"/>
      <w:bookmarkStart w:id="259" w:name="_Toc24695"/>
      <w:bookmarkStart w:id="260" w:name="_Toc226"/>
      <w:bookmarkStart w:id="261" w:name="_Toc21129"/>
      <w:r>
        <w:rPr>
          <w:rFonts w:hint="eastAsia" w:ascii="方正楷体_GBK" w:hAnsi="方正楷体_GBK" w:eastAsia="方正楷体_GBK" w:cs="方正楷体_GBK"/>
          <w:spacing w:val="8"/>
          <w:sz w:val="32"/>
          <w:szCs w:val="32"/>
          <w:lang w:eastAsia="zh-CN"/>
        </w:rPr>
        <w:t>第三节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“十四五”发展的机遇</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keepNext w:val="0"/>
        <w:keepLines w:val="0"/>
        <w:pageBreakBefore w:val="0"/>
        <w:widowControl w:val="0"/>
        <w:kinsoku/>
        <w:wordWrap/>
        <w:overflowPunct/>
        <w:topLinePunct w:val="0"/>
        <w:autoSpaceDE w:val="0"/>
        <w:autoSpaceDN w:val="0"/>
        <w:bidi w:val="0"/>
        <w:adjustRightInd w:val="0"/>
        <w:snapToGrid/>
        <w:spacing w:line="580" w:lineRule="exact"/>
        <w:ind w:firstLine="629"/>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五”时期是我国开启全面建设社会主义现代化国家新征程的关键时期，也是全力构建统一领导、权责一致、权威高效的应急体系，推动形成全区特色应急管理体制的关键时期，应急管理工作面临新的历史发展机遇。以习近平</w:t>
      </w:r>
      <w:r>
        <w:rPr>
          <w:rFonts w:hint="eastAsia" w:ascii="方正仿宋_GBK" w:hAnsi="方正仿宋_GBK" w:eastAsia="方正仿宋_GBK" w:cs="方正仿宋_GBK"/>
          <w:sz w:val="32"/>
          <w:szCs w:val="32"/>
          <w:lang w:eastAsia="zh-CN"/>
        </w:rPr>
        <w:t>同志</w:t>
      </w:r>
      <w:r>
        <w:rPr>
          <w:rFonts w:hint="eastAsia" w:ascii="方正仿宋_GBK" w:hAnsi="方正仿宋_GBK" w:eastAsia="方正仿宋_GBK" w:cs="方正仿宋_GBK"/>
          <w:sz w:val="32"/>
          <w:szCs w:val="32"/>
        </w:rPr>
        <w:t>为核心的党中央高度重视应急管理工作，将应急管理作为国家治理体系和治理能力重要组成部分，作出的一系列重大决策部署，为应急管理工作指明了方向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了根本遵循。全区全面推进数字经济、数字社会、数字政府建设，卫星遥感、物联网、云计算、大数据、人工智能、5G及区块链等高科技技术加速推广，为加快推进应急管理工作科学化、专业化、智能化和精细化提供了重要支撑。随着平安内蒙古建设、安全发展示范城市创建工作持续推进，人民群众对安全感的获得更加迫切，安全防范意识不断增强，对防范化解安全风险关注度逐步提升，为高水平推进应急管理体系和能力现代化建设凝聚强大共识提供坚实基础。</w:t>
      </w:r>
    </w:p>
    <w:p>
      <w:pPr>
        <w:keepNext w:val="0"/>
        <w:keepLines w:val="0"/>
        <w:pageBreakBefore w:val="0"/>
        <w:kinsoku/>
        <w:overflowPunct/>
        <w:topLinePunct/>
        <w:bidi w:val="0"/>
        <w:adjustRightInd w:val="0"/>
        <w:spacing w:before="298" w:beforeLines="50" w:after="298" w:afterLines="50" w:line="580" w:lineRule="exact"/>
        <w:jc w:val="center"/>
        <w:outlineLvl w:val="0"/>
        <w:rPr>
          <w:rFonts w:hint="eastAsia" w:ascii="方正黑体_GBK" w:hAnsi="方正黑体_GBK" w:eastAsia="方正黑体_GBK" w:cs="方正黑体_GBK"/>
          <w:sz w:val="32"/>
          <w:szCs w:val="32"/>
        </w:rPr>
      </w:pPr>
      <w:bookmarkStart w:id="262" w:name="_Toc13671"/>
      <w:bookmarkStart w:id="263" w:name="_Toc2866"/>
      <w:bookmarkStart w:id="264" w:name="_Toc21394"/>
      <w:bookmarkStart w:id="265" w:name="_Toc2142"/>
      <w:bookmarkStart w:id="266" w:name="_Toc1954"/>
      <w:bookmarkStart w:id="267" w:name="_Toc8845"/>
      <w:bookmarkStart w:id="268" w:name="_Toc30668"/>
      <w:bookmarkStart w:id="269" w:name="_Toc26172"/>
      <w:bookmarkStart w:id="270" w:name="_Toc21977"/>
      <w:bookmarkStart w:id="271" w:name="_Toc9771"/>
      <w:bookmarkStart w:id="272" w:name="_Toc16462"/>
      <w:bookmarkStart w:id="273" w:name="_Toc25680"/>
      <w:bookmarkStart w:id="274" w:name="_Toc5278"/>
      <w:bookmarkStart w:id="275" w:name="_Toc31255"/>
      <w:bookmarkStart w:id="276" w:name="_Toc7212"/>
      <w:bookmarkStart w:id="277" w:name="_Toc1099"/>
      <w:bookmarkStart w:id="278" w:name="_Toc18889"/>
      <w:bookmarkStart w:id="279" w:name="_Toc31977"/>
      <w:bookmarkStart w:id="280" w:name="_Toc22855"/>
      <w:bookmarkStart w:id="281" w:name="_Toc8483"/>
      <w:bookmarkStart w:id="282" w:name="_Toc26080"/>
      <w:bookmarkStart w:id="283" w:name="_Toc11863"/>
      <w:bookmarkStart w:id="284" w:name="_Toc29538"/>
      <w:bookmarkStart w:id="285" w:name="_Toc20801"/>
      <w:bookmarkStart w:id="286" w:name="_Toc795"/>
      <w:bookmarkStart w:id="287" w:name="_Toc26888"/>
      <w:bookmarkStart w:id="288" w:name="_Toc20901"/>
      <w:bookmarkStart w:id="289" w:name="_Toc21139"/>
      <w:bookmarkStart w:id="290" w:name="_Toc18821"/>
      <w:bookmarkStart w:id="291" w:name="_Toc19194"/>
      <w:bookmarkStart w:id="292" w:name="_Toc4260"/>
      <w:bookmarkStart w:id="293" w:name="_Toc28068"/>
      <w:bookmarkStart w:id="294" w:name="_Toc9168"/>
      <w:bookmarkStart w:id="295" w:name="_Toc23651"/>
      <w:bookmarkStart w:id="296" w:name="_Toc15967"/>
      <w:bookmarkStart w:id="297" w:name="_Toc3619"/>
      <w:bookmarkStart w:id="298" w:name="_Toc8074"/>
      <w:bookmarkStart w:id="299" w:name="_Toc18297"/>
      <w:bookmarkStart w:id="300" w:name="_Toc27481"/>
      <w:bookmarkStart w:id="301" w:name="_Toc30316"/>
      <w:bookmarkStart w:id="302" w:name="_Toc16435"/>
      <w:bookmarkStart w:id="303" w:name="_Toc87346233"/>
      <w:bookmarkStart w:id="304" w:name="_Toc24794"/>
      <w:bookmarkStart w:id="305" w:name="_Toc9326"/>
      <w:bookmarkStart w:id="306" w:name="_Toc24810"/>
      <w:bookmarkStart w:id="307" w:name="_Toc3001"/>
      <w:bookmarkStart w:id="308" w:name="_Toc10404"/>
      <w:bookmarkStart w:id="309" w:name="_Toc21011"/>
      <w:bookmarkStart w:id="310" w:name="_Toc15186"/>
      <w:bookmarkStart w:id="311" w:name="_Toc32551"/>
      <w:bookmarkStart w:id="312" w:name="_Toc25227"/>
      <w:bookmarkStart w:id="313" w:name="_Toc28233"/>
      <w:bookmarkStart w:id="314" w:name="_Toc26939"/>
      <w:bookmarkStart w:id="315" w:name="_Toc22013"/>
      <w:bookmarkStart w:id="316" w:name="_Toc91769295"/>
      <w:bookmarkStart w:id="317" w:name="_Toc11432"/>
      <w:bookmarkStart w:id="318" w:name="_Toc27899"/>
      <w:bookmarkStart w:id="319" w:name="_Toc4441"/>
      <w:bookmarkStart w:id="320" w:name="_Toc7902"/>
      <w:bookmarkStart w:id="321" w:name="_Toc12198"/>
      <w:bookmarkStart w:id="322" w:name="_Toc88078910"/>
      <w:bookmarkStart w:id="323" w:name="_Toc14365"/>
      <w:bookmarkStart w:id="324" w:name="_Toc75374663"/>
      <w:r>
        <w:rPr>
          <w:rFonts w:hint="eastAsia" w:ascii="方正黑体_GBK" w:hAnsi="方正黑体_GBK" w:eastAsia="方正黑体_GBK" w:cs="方正黑体_GBK"/>
          <w:sz w:val="32"/>
          <w:szCs w:val="32"/>
        </w:rPr>
        <w:t>第二章 指导思想、基本原则和</w:t>
      </w:r>
      <w:r>
        <w:rPr>
          <w:rFonts w:hint="eastAsia" w:ascii="方正黑体_GBK" w:hAnsi="方正黑体_GBK" w:eastAsia="方正黑体_GBK" w:cs="方正黑体_GBK"/>
          <w:sz w:val="32"/>
          <w:szCs w:val="32"/>
          <w:lang w:eastAsia="zh-CN"/>
        </w:rPr>
        <w:t>工作</w:t>
      </w:r>
      <w:r>
        <w:rPr>
          <w:rFonts w:hint="eastAsia" w:ascii="方正黑体_GBK" w:hAnsi="方正黑体_GBK" w:eastAsia="方正黑体_GBK" w:cs="方正黑体_GBK"/>
          <w:sz w:val="32"/>
          <w:szCs w:val="32"/>
        </w:rPr>
        <w:t>目标</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keepNext w:val="0"/>
        <w:keepLines w:val="0"/>
        <w:pageBreakBefore w:val="0"/>
        <w:kinsoku/>
        <w:overflowPunct/>
        <w:topLinePunct/>
        <w:bidi w:val="0"/>
        <w:adjustRightInd w:val="0"/>
        <w:spacing w:after="298" w:afterLines="50" w:line="580" w:lineRule="exact"/>
        <w:jc w:val="center"/>
        <w:outlineLvl w:val="1"/>
        <w:rPr>
          <w:rFonts w:hint="eastAsia" w:ascii="方正楷体_GBK" w:hAnsi="方正楷体_GBK" w:eastAsia="方正楷体_GBK" w:cs="方正楷体_GBK"/>
          <w:spacing w:val="8"/>
          <w:sz w:val="32"/>
          <w:szCs w:val="32"/>
        </w:rPr>
      </w:pPr>
      <w:bookmarkStart w:id="325" w:name="_Toc19094"/>
      <w:bookmarkStart w:id="326" w:name="_Toc9885"/>
      <w:bookmarkStart w:id="327" w:name="_Toc12904"/>
      <w:bookmarkStart w:id="328" w:name="_Toc4396"/>
      <w:bookmarkStart w:id="329" w:name="_Toc31086"/>
      <w:bookmarkStart w:id="330" w:name="_Toc27846"/>
      <w:bookmarkStart w:id="331" w:name="_Toc19678"/>
      <w:bookmarkStart w:id="332" w:name="_Toc23442"/>
      <w:bookmarkStart w:id="333" w:name="_Toc27842"/>
      <w:bookmarkStart w:id="334" w:name="_Toc19027"/>
      <w:bookmarkStart w:id="335" w:name="_Toc18759"/>
      <w:bookmarkStart w:id="336" w:name="_Toc87346234"/>
      <w:bookmarkStart w:id="337" w:name="_Toc5349"/>
      <w:bookmarkStart w:id="338" w:name="_Toc32317"/>
      <w:bookmarkStart w:id="339" w:name="_Toc12107"/>
      <w:bookmarkStart w:id="340" w:name="_Toc14523"/>
      <w:bookmarkStart w:id="341" w:name="_Toc2268"/>
      <w:bookmarkStart w:id="342" w:name="_Toc28956"/>
      <w:bookmarkStart w:id="343" w:name="_Toc8058"/>
      <w:bookmarkStart w:id="344" w:name="_Toc91769296"/>
      <w:bookmarkStart w:id="345" w:name="_Toc21313"/>
      <w:bookmarkStart w:id="346" w:name="_Toc11066"/>
      <w:bookmarkStart w:id="347" w:name="_Toc15454"/>
      <w:bookmarkStart w:id="348" w:name="_Toc7051"/>
      <w:bookmarkStart w:id="349" w:name="_Toc8782"/>
      <w:bookmarkStart w:id="350" w:name="_Toc22607"/>
      <w:bookmarkStart w:id="351" w:name="_Toc30188"/>
      <w:bookmarkStart w:id="352" w:name="_Toc8886"/>
      <w:bookmarkStart w:id="353" w:name="_Toc88078911"/>
      <w:bookmarkStart w:id="354" w:name="_Toc17679"/>
      <w:bookmarkStart w:id="355" w:name="_Toc23054"/>
      <w:bookmarkStart w:id="356" w:name="_Toc25729"/>
      <w:bookmarkStart w:id="357" w:name="_Toc29696"/>
      <w:bookmarkStart w:id="358" w:name="_Toc25586"/>
      <w:bookmarkStart w:id="359" w:name="_Toc21425"/>
      <w:bookmarkStart w:id="360" w:name="_Toc31142"/>
      <w:bookmarkStart w:id="361" w:name="_Toc25047"/>
      <w:bookmarkStart w:id="362" w:name="_Toc22123"/>
      <w:bookmarkStart w:id="363" w:name="_Toc31640"/>
      <w:bookmarkStart w:id="364" w:name="_Toc11291"/>
      <w:bookmarkStart w:id="365" w:name="_Toc11942"/>
      <w:bookmarkStart w:id="366" w:name="_Toc30182"/>
      <w:bookmarkStart w:id="367" w:name="_Toc26118"/>
      <w:bookmarkStart w:id="368" w:name="_Toc374"/>
      <w:bookmarkStart w:id="369" w:name="_Toc18368"/>
      <w:bookmarkStart w:id="370" w:name="_Toc10726"/>
      <w:bookmarkStart w:id="371" w:name="_Toc19343"/>
      <w:bookmarkStart w:id="372" w:name="_Toc127"/>
      <w:bookmarkStart w:id="373" w:name="_Toc32128"/>
      <w:bookmarkStart w:id="374" w:name="_Toc9803"/>
      <w:bookmarkStart w:id="375" w:name="_Toc19100"/>
      <w:bookmarkStart w:id="376" w:name="_Toc75374664"/>
      <w:bookmarkStart w:id="377" w:name="_Toc1018"/>
      <w:bookmarkStart w:id="378" w:name="_Toc12294"/>
      <w:bookmarkStart w:id="379" w:name="_Toc7872"/>
      <w:bookmarkStart w:id="380" w:name="_Toc14161"/>
      <w:bookmarkStart w:id="381" w:name="_Toc2008"/>
      <w:bookmarkStart w:id="382" w:name="_Toc21801"/>
      <w:bookmarkStart w:id="383" w:name="_Toc9953"/>
      <w:bookmarkStart w:id="384" w:name="_Toc7866"/>
      <w:bookmarkStart w:id="385" w:name="_Toc16898"/>
      <w:bookmarkStart w:id="386" w:name="_Toc833"/>
      <w:bookmarkStart w:id="387" w:name="_Toc17305"/>
      <w:r>
        <w:rPr>
          <w:rFonts w:hint="eastAsia" w:ascii="方正楷体_GBK" w:hAnsi="方正楷体_GBK" w:eastAsia="方正楷体_GBK" w:cs="方正楷体_GBK"/>
          <w:spacing w:val="8"/>
          <w:sz w:val="32"/>
          <w:szCs w:val="32"/>
          <w:lang w:eastAsia="zh-CN"/>
        </w:rPr>
        <w:t>第一节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指导思想</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高举中国特色社会主义伟大旗帜，以习近平新时代中国特色社会主义思想为指导，全面贯彻党的十九大和十九届</w:t>
      </w:r>
      <w:r>
        <w:rPr>
          <w:rFonts w:hint="eastAsia" w:ascii="方正仿宋_GBK" w:hAnsi="方正仿宋_GBK" w:eastAsia="方正仿宋_GBK" w:cs="方正仿宋_GBK"/>
          <w:sz w:val="32"/>
          <w:szCs w:val="32"/>
          <w:lang w:eastAsia="zh-CN"/>
        </w:rPr>
        <w:t>历次</w:t>
      </w:r>
      <w:r>
        <w:rPr>
          <w:rFonts w:hint="eastAsia" w:ascii="方正仿宋_GBK" w:hAnsi="方正仿宋_GBK" w:eastAsia="方正仿宋_GBK" w:cs="方正仿宋_GBK"/>
          <w:sz w:val="32"/>
          <w:szCs w:val="32"/>
        </w:rPr>
        <w:t>全会精神，深入贯彻习近平总书记关于应急管理重要论述和对内蒙古重要讲话重要指示批示精神，坚持人民至上、生命至上，坚持总体国家安全观，坚持统筹发展和安全，立足内蒙古“两个屏障”“两个基地”和“一个桥头堡”战略定位，以推进应急管理体系和能力现代化为主线，着力完善应急管理体制机制，不断强化应急管理能力建设，着力防范化解重大安全风险，全力保护人民群众生命财产安全和维护社会稳定，为内蒙古全方位高质量发展提供坚实的安全保障。</w:t>
      </w:r>
    </w:p>
    <w:p>
      <w:pPr>
        <w:keepNext w:val="0"/>
        <w:keepLines w:val="0"/>
        <w:pageBreakBefore w:val="0"/>
        <w:kinsoku/>
        <w:overflowPunct/>
        <w:topLinePunct/>
        <w:bidi w:val="0"/>
        <w:spacing w:before="298" w:beforeLines="50" w:after="298" w:afterLines="50" w:line="580" w:lineRule="exact"/>
        <w:jc w:val="center"/>
        <w:outlineLvl w:val="1"/>
        <w:rPr>
          <w:rFonts w:hint="eastAsia" w:ascii="方正仿宋_GBK" w:hAnsi="方正仿宋_GBK" w:eastAsia="方正仿宋_GBK" w:cs="方正仿宋_GBK"/>
          <w:spacing w:val="8"/>
          <w:sz w:val="32"/>
          <w:szCs w:val="32"/>
        </w:rPr>
      </w:pPr>
      <w:bookmarkStart w:id="388" w:name="_Toc28459"/>
      <w:bookmarkStart w:id="389" w:name="_Toc88078912"/>
      <w:bookmarkStart w:id="390" w:name="_Toc20380"/>
      <w:bookmarkStart w:id="391" w:name="_Toc6524"/>
      <w:bookmarkStart w:id="392" w:name="_Toc12801"/>
      <w:bookmarkStart w:id="393" w:name="_Toc32272"/>
      <w:bookmarkStart w:id="394" w:name="_Toc9873"/>
      <w:bookmarkStart w:id="395" w:name="_Toc3666"/>
      <w:bookmarkStart w:id="396" w:name="_Toc24095"/>
      <w:bookmarkStart w:id="397" w:name="_Toc21099"/>
      <w:bookmarkStart w:id="398" w:name="_Toc75374665"/>
      <w:bookmarkStart w:id="399" w:name="_Toc26530"/>
      <w:bookmarkStart w:id="400" w:name="_Toc5747"/>
      <w:bookmarkStart w:id="401" w:name="_Toc18697"/>
      <w:bookmarkStart w:id="402" w:name="_Toc3562"/>
      <w:bookmarkStart w:id="403" w:name="_Toc23487"/>
      <w:bookmarkStart w:id="404" w:name="_Toc31269"/>
      <w:bookmarkStart w:id="405" w:name="_Toc5276"/>
      <w:bookmarkStart w:id="406" w:name="_Toc7043"/>
      <w:bookmarkStart w:id="407" w:name="_Toc16870"/>
      <w:bookmarkStart w:id="408" w:name="_Toc91769297"/>
      <w:bookmarkStart w:id="409" w:name="_Toc8746"/>
      <w:bookmarkStart w:id="410" w:name="_Toc656"/>
      <w:bookmarkStart w:id="411" w:name="_Toc19274"/>
      <w:bookmarkStart w:id="412" w:name="_Toc15445"/>
      <w:bookmarkStart w:id="413" w:name="_Toc24482"/>
      <w:bookmarkStart w:id="414" w:name="_Toc26934"/>
      <w:bookmarkStart w:id="415" w:name="_Toc15048"/>
      <w:bookmarkStart w:id="416" w:name="_Toc13317"/>
      <w:bookmarkStart w:id="417" w:name="_Toc14806"/>
      <w:bookmarkStart w:id="418" w:name="_Toc7932"/>
      <w:bookmarkStart w:id="419" w:name="_Toc21532"/>
      <w:bookmarkStart w:id="420" w:name="_Toc2483"/>
      <w:bookmarkStart w:id="421" w:name="_Toc6207"/>
      <w:bookmarkStart w:id="422" w:name="_Toc26060"/>
      <w:bookmarkStart w:id="423" w:name="_Toc22781"/>
      <w:bookmarkStart w:id="424" w:name="_Toc1141"/>
      <w:bookmarkStart w:id="425" w:name="_Toc13617"/>
      <w:bookmarkStart w:id="426" w:name="_Toc30516"/>
      <w:bookmarkStart w:id="427" w:name="_Toc17262"/>
      <w:bookmarkStart w:id="428" w:name="_Toc13261"/>
      <w:bookmarkStart w:id="429" w:name="_Toc30236"/>
      <w:bookmarkStart w:id="430" w:name="_Toc1878"/>
      <w:bookmarkStart w:id="431" w:name="_Toc21169"/>
      <w:bookmarkStart w:id="432" w:name="_Toc87346235"/>
      <w:bookmarkStart w:id="433" w:name="_Toc20334"/>
      <w:bookmarkStart w:id="434" w:name="_Toc23560"/>
      <w:bookmarkStart w:id="435" w:name="_Toc18518"/>
      <w:bookmarkStart w:id="436" w:name="_Toc24569"/>
      <w:bookmarkStart w:id="437" w:name="_Toc21660"/>
      <w:bookmarkStart w:id="438" w:name="_Toc3308"/>
      <w:bookmarkStart w:id="439" w:name="_Toc14258"/>
      <w:bookmarkStart w:id="440" w:name="_Toc16760"/>
      <w:bookmarkStart w:id="441" w:name="_Toc14487"/>
      <w:bookmarkStart w:id="442" w:name="_Toc30042"/>
      <w:bookmarkStart w:id="443" w:name="_Toc26105"/>
      <w:bookmarkStart w:id="444" w:name="_Toc12343"/>
      <w:bookmarkStart w:id="445" w:name="_Toc30843"/>
      <w:bookmarkStart w:id="446" w:name="_Toc1318"/>
      <w:bookmarkStart w:id="447" w:name="_Toc10326"/>
      <w:bookmarkStart w:id="448" w:name="_Toc13457"/>
      <w:bookmarkStart w:id="449" w:name="_Toc10219"/>
      <w:bookmarkStart w:id="450" w:name="_Toc28716"/>
      <w:r>
        <w:rPr>
          <w:rFonts w:hint="eastAsia" w:ascii="方正楷体_GBK" w:hAnsi="方正楷体_GBK" w:eastAsia="方正楷体_GBK" w:cs="方正楷体_GBK"/>
          <w:spacing w:val="8"/>
          <w:sz w:val="32"/>
          <w:szCs w:val="32"/>
          <w:lang w:eastAsia="zh-CN"/>
        </w:rPr>
        <w:t>第二节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基本原则</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bookmarkStart w:id="451" w:name="_Toc43740957"/>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坚持党的全面领导。全面加强党对应急管理工作的领导，充分发挥党统揽全局、协调各方的核心领导作用，将党的领导贯穿应急管理全过程各方面，为应急管理体系和能力现代化建设</w:t>
      </w:r>
      <w:r>
        <w:rPr>
          <w:rFonts w:hint="eastAsia" w:ascii="方正仿宋_GBK" w:hAnsi="方正仿宋_GBK" w:eastAsia="方正仿宋_GBK" w:cs="方正仿宋_GBK"/>
          <w:sz w:val="32"/>
          <w:szCs w:val="32"/>
          <w:shd w:val="clear" w:color="auto" w:fill="FFFFFF"/>
        </w:rPr>
        <w:t>提供根本政治保证。</w:t>
      </w:r>
    </w:p>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坚持以人为本。牢固树立以人民为中心的发展思想，坚持人民至上、生命至上，正确处理发展与安全的关系，最大限度降低各类灾害事故的危害，切实把确保人民生命安全放在第一位落到实处。</w:t>
      </w:r>
    </w:p>
    <w:bookmarkEnd w:id="451"/>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坚持预防为主。坚决落实“两个坚持、三个转变”</w:t>
      </w:r>
      <w:r>
        <w:rPr>
          <w:rFonts w:hint="eastAsia" w:ascii="方正仿宋_GBK" w:hAnsi="方正仿宋_GBK" w:eastAsia="方正仿宋_GBK" w:cs="方正仿宋_GBK"/>
          <w:sz w:val="32"/>
          <w:szCs w:val="32"/>
          <w:lang w:eastAsia="zh-CN"/>
        </w:rPr>
        <w:t>要求</w:t>
      </w:r>
      <w:r>
        <w:rPr>
          <w:rFonts w:hint="eastAsia" w:ascii="方正仿宋_GBK" w:hAnsi="方正仿宋_GBK" w:eastAsia="方正仿宋_GBK" w:cs="方正仿宋_GBK"/>
          <w:sz w:val="32"/>
          <w:szCs w:val="32"/>
        </w:rPr>
        <w:t>，健全风险防范化解机制，做到关口前移、重心下移，加强源头管控，综合运用人防物防技防等措施，真正把问题解决在萌芽之时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成灾之前。</w:t>
      </w:r>
    </w:p>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bookmarkStart w:id="452" w:name="_Toc43740958"/>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坚持系统治理。加强前瞻性思考、全局性谋划、战略性布局、整体性推进，瞄准重大安全风险挑战，实施一批重大政策和重大工程，着力固根基、扬优势、补短板、强弱项，切实提高自然灾害、事故灾难等突发事件的全过程防治水平。</w:t>
      </w:r>
    </w:p>
    <w:bookmarkEnd w:id="452"/>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bookmarkStart w:id="453" w:name="_Toc43740961"/>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坚持社会</w:t>
      </w:r>
      <w:bookmarkEnd w:id="453"/>
      <w:r>
        <w:rPr>
          <w:rFonts w:hint="eastAsia" w:ascii="方正仿宋_GBK" w:hAnsi="方正仿宋_GBK" w:eastAsia="方正仿宋_GBK" w:cs="方正仿宋_GBK"/>
          <w:sz w:val="32"/>
          <w:szCs w:val="32"/>
        </w:rPr>
        <w:t>共治。把群众观点和群众路线贯穿工作始终，积极组织引导社会各方力量参与应急管理工作，强化群策群防群治，加大宣传培训和科普力度，提升社会公众自救互救意识和能力，筑牢防灾减灾救灾的人民防线。</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454" w:name="_Toc5119"/>
      <w:bookmarkStart w:id="455" w:name="_Toc11897"/>
      <w:bookmarkStart w:id="456" w:name="_Toc16258"/>
      <w:bookmarkStart w:id="457" w:name="_Toc21693"/>
      <w:bookmarkStart w:id="458" w:name="_Toc11964"/>
      <w:bookmarkStart w:id="459" w:name="_Toc21727"/>
      <w:bookmarkStart w:id="460" w:name="_Toc11140"/>
      <w:bookmarkStart w:id="461" w:name="_Toc6561"/>
      <w:bookmarkStart w:id="462" w:name="_Toc8031"/>
      <w:bookmarkStart w:id="463" w:name="_Toc88078913"/>
      <w:bookmarkStart w:id="464" w:name="_Toc7868"/>
      <w:bookmarkStart w:id="465" w:name="_Toc26944"/>
      <w:bookmarkStart w:id="466" w:name="_Toc4899"/>
      <w:bookmarkStart w:id="467" w:name="_Toc22196"/>
      <w:bookmarkStart w:id="468" w:name="_Toc12672"/>
      <w:bookmarkStart w:id="469" w:name="_Toc522"/>
      <w:bookmarkStart w:id="470" w:name="_Toc22856"/>
      <w:bookmarkStart w:id="471" w:name="_Toc8714"/>
      <w:bookmarkStart w:id="472" w:name="_Toc87346236"/>
      <w:bookmarkStart w:id="473" w:name="_Toc27652"/>
      <w:bookmarkStart w:id="474" w:name="_Toc12341"/>
      <w:bookmarkStart w:id="475" w:name="_Toc19826"/>
      <w:bookmarkStart w:id="476" w:name="_Toc16680"/>
      <w:bookmarkStart w:id="477" w:name="_Toc2284"/>
      <w:bookmarkStart w:id="478" w:name="_Toc75374666"/>
      <w:bookmarkStart w:id="479" w:name="_Toc6360"/>
      <w:bookmarkStart w:id="480" w:name="_Toc11532"/>
      <w:bookmarkStart w:id="481" w:name="_Toc28564"/>
      <w:bookmarkStart w:id="482" w:name="_Toc26698"/>
      <w:bookmarkStart w:id="483" w:name="_Toc25731"/>
      <w:bookmarkStart w:id="484" w:name="_Toc31647"/>
      <w:bookmarkStart w:id="485" w:name="_Toc21332"/>
      <w:bookmarkStart w:id="486" w:name="_Toc24157"/>
      <w:bookmarkStart w:id="487" w:name="_Toc17037"/>
      <w:bookmarkStart w:id="488" w:name="_Toc17541"/>
      <w:bookmarkStart w:id="489" w:name="_Toc4617"/>
      <w:bookmarkStart w:id="490" w:name="_Toc12468"/>
      <w:bookmarkStart w:id="491" w:name="_Toc91769298"/>
      <w:bookmarkStart w:id="492" w:name="_Toc31917"/>
      <w:bookmarkStart w:id="493" w:name="_Toc13930"/>
      <w:bookmarkStart w:id="494" w:name="_Toc20148"/>
      <w:bookmarkStart w:id="495" w:name="_Toc2794"/>
      <w:bookmarkStart w:id="496" w:name="_Toc10653"/>
      <w:bookmarkStart w:id="497" w:name="_Toc20826"/>
      <w:bookmarkStart w:id="498" w:name="_Toc31638"/>
      <w:bookmarkStart w:id="499" w:name="_Toc1171"/>
      <w:bookmarkStart w:id="500" w:name="_Toc27656"/>
      <w:bookmarkStart w:id="501" w:name="_Toc17931"/>
      <w:bookmarkStart w:id="502" w:name="_Toc27150"/>
      <w:bookmarkStart w:id="503" w:name="_Toc31193"/>
      <w:bookmarkStart w:id="504" w:name="_Toc22818"/>
      <w:bookmarkStart w:id="505" w:name="_Toc32537"/>
      <w:bookmarkStart w:id="506" w:name="_Toc28693"/>
      <w:bookmarkStart w:id="507" w:name="_Toc25747"/>
      <w:bookmarkStart w:id="508" w:name="_Toc7812"/>
      <w:bookmarkStart w:id="509" w:name="_Toc32572"/>
      <w:bookmarkStart w:id="510" w:name="_Toc18407"/>
      <w:bookmarkStart w:id="511" w:name="_Toc16407"/>
      <w:bookmarkStart w:id="512" w:name="_Toc20567"/>
      <w:bookmarkStart w:id="513" w:name="_Toc20976"/>
      <w:bookmarkStart w:id="514" w:name="_Toc7908"/>
      <w:bookmarkStart w:id="515" w:name="_Toc17095"/>
      <w:bookmarkStart w:id="516" w:name="_Toc28836"/>
      <w:r>
        <w:rPr>
          <w:rFonts w:hint="eastAsia" w:ascii="方正楷体_GBK" w:hAnsi="方正楷体_GBK" w:eastAsia="方正楷体_GBK" w:cs="方正楷体_GBK"/>
          <w:spacing w:val="8"/>
          <w:sz w:val="32"/>
          <w:szCs w:val="32"/>
          <w:lang w:eastAsia="zh-CN"/>
        </w:rPr>
        <w:t>第三节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lang w:eastAsia="zh-CN"/>
        </w:rPr>
        <w:t>工作</w:t>
      </w:r>
      <w:r>
        <w:rPr>
          <w:rFonts w:hint="eastAsia" w:ascii="方正楷体_GBK" w:hAnsi="方正楷体_GBK" w:eastAsia="方正楷体_GBK" w:cs="方正楷体_GBK"/>
          <w:spacing w:val="8"/>
          <w:sz w:val="32"/>
          <w:szCs w:val="32"/>
        </w:rPr>
        <w:t>目标</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到2025年，全区应急管理体系和能力现代化建设取得重大进展，形成统一指挥、专常兼备、反应灵敏、上下联动的应急管理体制，建成统一领导、权责一致、权威高效的应急能力体系，防范化解重大风险机制不断健全，安全生产、综合防灾减灾形势趋稳向好，生产安全事故总量持续下降，重特大事故有效遏制，企业本质安全水平不断提升，自然灾害防御水平明显提升，全社会防范应对处置灾害事故的能力显著增强，人民生命财产安全得到有效保障。</w:t>
      </w:r>
    </w:p>
    <w:p>
      <w:pPr>
        <w:keepNext w:val="0"/>
        <w:keepLines w:val="0"/>
        <w:pageBreakBefore w:val="0"/>
        <w:widowControl/>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管理体制机制更加完善。应急管理领导体制、指挥体制、协同机制、责任体系更趋合理，法规标准更加科学健全，应急管理机构基础设施、装备条件大幅改善，工作效能、履职能力全面提升。旗县级以上应急管理部门行政执法装备配备达标率达到80%。</w:t>
      </w:r>
    </w:p>
    <w:p>
      <w:pPr>
        <w:keepNext w:val="0"/>
        <w:keepLines w:val="0"/>
        <w:pageBreakBefore w:val="0"/>
        <w:widowControl/>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灾害事故防控能力全面提升。安全风险分级管控与隐患排查治理机制进一步完善，综合监测、风险早期识别和预报预警能力显著增强，城乡基础设施防灾能力、重点行业领域安全生产水平大幅提升。灾害事故上报及时准确，灾害预警信息发布公众覆盖率达90%以上。</w:t>
      </w:r>
    </w:p>
    <w:p>
      <w:pPr>
        <w:keepNext w:val="0"/>
        <w:keepLines w:val="0"/>
        <w:pageBreakBefore w:val="0"/>
        <w:widowControl/>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本质安全水平明显提升。全员安全生产责任制全面建立，企业主体责任进一步落实，安全生产标准化建设水平明显提高，事故隐患能够及时排查治理，重大事故隐患得到有效整治，职工安全意识和操作技能得到提高，防范事故能力明显加强。</w:t>
      </w:r>
    </w:p>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——应急救援能力显著增强。应急预案体系更加完善，驻区国家综合性应急救援队伍、地方行业专业救援队伍、应急救援航空力量、区域救援基地、救援装备研发基地、紧急医学救援基地布局更加优化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配备更加合理，社会救援力量规范发展，救援能力显著提升。应急物资、应急物流、应急通信保障能力全面加强。</w:t>
      </w:r>
    </w:p>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——应急科技支撑能力全面提升。应急管理理论研究、技术研究、装备研发取得突破，科技成果转化应用机制顺畅，应急管理科技和信息化水平明显提高。</w:t>
      </w:r>
    </w:p>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——共建共治共享格局基本形成。全社会安全文明程度明显提升，公众安全意识和自救互救能力显著提高，市场机制作用有效发挥，社会应急力量发展环境进一步优化，应急管理共建共治共享格局基本形成。</w:t>
      </w:r>
    </w:p>
    <w:p>
      <w:pPr>
        <w:keepNext w:val="0"/>
        <w:keepLines w:val="0"/>
        <w:pageBreakBefore w:val="0"/>
        <w:kinsoku/>
        <w:overflowPunct/>
        <w:topLinePunct/>
        <w:bidi w:val="0"/>
        <w:adjustRightInd w:val="0"/>
        <w:spacing w:after="298" w:afterLines="50"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——应急基础保障水平明显提高。应急管理基层治理能力全面提升，应急人才队伍专业能力全面提高，人才培训、激励、考核体系进一步健全。</w:t>
      </w:r>
    </w:p>
    <w:tbl>
      <w:tblPr>
        <w:tblStyle w:val="14"/>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672"/>
        <w:gridCol w:w="2760"/>
        <w:gridCol w:w="1110"/>
        <w:gridCol w:w="1530"/>
        <w:gridCol w:w="123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8957" w:type="dxa"/>
            <w:gridSpan w:val="7"/>
            <w:tcBorders>
              <w:top w:val="single" w:color="auto" w:sz="4" w:space="0"/>
              <w:left w:val="single" w:color="auto" w:sz="4" w:space="0"/>
              <w:right w:val="single" w:color="auto" w:sz="4" w:space="0"/>
            </w:tcBorders>
            <w:shd w:val="clear" w:color="auto" w:fill="FFFFFF"/>
            <w:noWrap/>
            <w:vAlign w:val="center"/>
          </w:tcPr>
          <w:p>
            <w:pPr>
              <w:keepNext w:val="0"/>
              <w:keepLines w:val="0"/>
              <w:pageBreakBefore w:val="0"/>
              <w:widowControl w:val="0"/>
              <w:shd w:val="clear" w:color="auto" w:fill="FFFFFF"/>
              <w:kinsoku/>
              <w:wordWrap/>
              <w:overflowPunct/>
              <w:topLinePunct/>
              <w:autoSpaceDE/>
              <w:autoSpaceDN/>
              <w:bidi w:val="0"/>
              <w:adjustRightInd w:val="0"/>
              <w:snapToGrid/>
              <w:spacing w:line="400" w:lineRule="exact"/>
              <w:ind w:firstLine="0" w:firstLineChars="0"/>
              <w:jc w:val="center"/>
              <w:textAlignment w:val="center"/>
              <w:rPr>
                <w:rFonts w:hint="eastAsia" w:ascii="方正仿宋_GBK" w:hAnsi="方正仿宋_GBK" w:eastAsia="方正仿宋_GBK" w:cs="方正仿宋_GBK"/>
                <w:kern w:val="0"/>
                <w:sz w:val="32"/>
                <w:szCs w:val="32"/>
              </w:rPr>
            </w:pPr>
            <w:r>
              <w:rPr>
                <w:rFonts w:hint="eastAsia" w:ascii="方正黑体_GBK" w:hAnsi="方正黑体_GBK" w:eastAsia="方正黑体_GBK" w:cs="方正黑体_GBK"/>
                <w:kern w:val="0"/>
                <w:sz w:val="30"/>
                <w:szCs w:val="30"/>
              </w:rPr>
              <w:t>“十四五”应急体系建设规划主要指标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0" w:hRule="atLeast"/>
        </w:trPr>
        <w:tc>
          <w:tcPr>
            <w:tcW w:w="725" w:type="dxa"/>
            <w:tcBorders>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类别</w:t>
            </w:r>
          </w:p>
        </w:tc>
        <w:tc>
          <w:tcPr>
            <w:tcW w:w="672" w:type="dxa"/>
            <w:tcBorders>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序号</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指标名称</w:t>
            </w:r>
          </w:p>
        </w:tc>
        <w:tc>
          <w:tcPr>
            <w:tcW w:w="1110" w:type="dxa"/>
            <w:tcBorders>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2020年</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基数</w:t>
            </w:r>
          </w:p>
        </w:tc>
        <w:tc>
          <w:tcPr>
            <w:tcW w:w="1530" w:type="dxa"/>
            <w:tcBorders>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2025年</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目标绝对值</w:t>
            </w:r>
          </w:p>
        </w:tc>
        <w:tc>
          <w:tcPr>
            <w:tcW w:w="1230" w:type="dxa"/>
            <w:tcBorders>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2025年</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目标值</w:t>
            </w:r>
          </w:p>
        </w:tc>
        <w:tc>
          <w:tcPr>
            <w:tcW w:w="930" w:type="dxa"/>
            <w:tcBorders>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指标</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trPr>
        <w:tc>
          <w:tcPr>
            <w:tcW w:w="725"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安</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全</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生</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产</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1</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6"/>
                <w:kern w:val="0"/>
                <w:sz w:val="28"/>
                <w:szCs w:val="28"/>
              </w:rPr>
              <w:t>生产安全事故死亡人数</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785</w:t>
            </w:r>
          </w:p>
        </w:tc>
        <w:tc>
          <w:tcPr>
            <w:tcW w:w="1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667</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下降15%</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0" w:hRule="atLeast"/>
        </w:trPr>
        <w:tc>
          <w:tcPr>
            <w:tcW w:w="72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632" w:firstLineChars="0"/>
              <w:jc w:val="center"/>
              <w:rPr>
                <w:rFonts w:hint="eastAsia" w:ascii="方正黑体_GBK" w:hAnsi="方正黑体_GBK" w:eastAsia="方正黑体_GBK" w:cs="方正黑体_GBK"/>
                <w:sz w:val="28"/>
                <w:szCs w:val="2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2</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亿元地区生产总值生产安全事故死亡率</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0.045</w:t>
            </w:r>
          </w:p>
        </w:tc>
        <w:tc>
          <w:tcPr>
            <w:tcW w:w="1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0.033</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kern w:val="0"/>
                <w:sz w:val="28"/>
                <w:szCs w:val="28"/>
              </w:rPr>
              <w:t>下降26%</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7" w:hRule="atLeast"/>
        </w:trPr>
        <w:tc>
          <w:tcPr>
            <w:tcW w:w="72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632" w:firstLineChars="0"/>
              <w:jc w:val="center"/>
              <w:rPr>
                <w:rFonts w:hint="eastAsia" w:ascii="方正黑体_GBK" w:hAnsi="方正黑体_GBK" w:eastAsia="方正黑体_GBK" w:cs="方正黑体_GBK"/>
                <w:sz w:val="28"/>
                <w:szCs w:val="2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3</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工矿商贸就业人员十万人生产安全事故死亡率</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2.916</w:t>
            </w:r>
          </w:p>
        </w:tc>
        <w:tc>
          <w:tcPr>
            <w:tcW w:w="1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2.595</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kern w:val="0"/>
                <w:sz w:val="28"/>
                <w:szCs w:val="28"/>
              </w:rPr>
              <w:t>下降11%</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3" w:hRule="atLeast"/>
        </w:trPr>
        <w:tc>
          <w:tcPr>
            <w:tcW w:w="72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632" w:firstLineChars="0"/>
              <w:jc w:val="center"/>
              <w:rPr>
                <w:rFonts w:hint="eastAsia" w:ascii="方正黑体_GBK" w:hAnsi="方正黑体_GBK" w:eastAsia="方正黑体_GBK" w:cs="方正黑体_GBK"/>
                <w:sz w:val="28"/>
                <w:szCs w:val="2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4</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运营车辆万车死亡率</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7.402</w:t>
            </w:r>
          </w:p>
        </w:tc>
        <w:tc>
          <w:tcPr>
            <w:tcW w:w="1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6.661</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下降10%</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8" w:hRule="atLeast"/>
        </w:trPr>
        <w:tc>
          <w:tcPr>
            <w:tcW w:w="72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632" w:firstLineChars="0"/>
              <w:jc w:val="center"/>
              <w:rPr>
                <w:rFonts w:hint="eastAsia" w:ascii="方正黑体_GBK" w:hAnsi="方正黑体_GBK" w:eastAsia="方正黑体_GBK" w:cs="方正黑体_GBK"/>
                <w:sz w:val="28"/>
                <w:szCs w:val="2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5</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煤矿百万吨死亡率</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0.0141</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0.0126</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下降10%</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8" w:hRule="atLeast"/>
        </w:trPr>
        <w:tc>
          <w:tcPr>
            <w:tcW w:w="725"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自然</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灾害</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防治</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6</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年均因自然灾害直接经济损失占自治区生产总值比例</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0.72%</w:t>
            </w:r>
            <w:r>
              <w:rPr>
                <w:rFonts w:hint="eastAsia" w:ascii="方正仿宋_GBK" w:hAnsi="方正仿宋_GBK" w:eastAsia="方正仿宋_GBK" w:cs="方正仿宋_GBK"/>
                <w:spacing w:val="8"/>
                <w:kern w:val="0"/>
                <w:sz w:val="28"/>
                <w:szCs w:val="28"/>
                <w:vertAlign w:val="superscript"/>
              </w:rPr>
              <w:t>※</w:t>
            </w:r>
          </w:p>
        </w:tc>
        <w:tc>
          <w:tcPr>
            <w:tcW w:w="1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≤0.7%</w:t>
            </w:r>
            <w:r>
              <w:rPr>
                <w:rFonts w:hint="eastAsia" w:ascii="方正仿宋_GBK" w:hAnsi="方正仿宋_GBK" w:eastAsia="方正仿宋_GBK" w:cs="方正仿宋_GBK"/>
                <w:spacing w:val="8"/>
                <w:kern w:val="0"/>
                <w:sz w:val="28"/>
                <w:szCs w:val="28"/>
                <w:vertAlign w:val="superscript"/>
              </w:rPr>
              <w:t>※</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8" w:hRule="atLeast"/>
        </w:trPr>
        <w:tc>
          <w:tcPr>
            <w:tcW w:w="72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632" w:firstLineChars="0"/>
              <w:jc w:val="center"/>
              <w:rPr>
                <w:rFonts w:hint="eastAsia" w:ascii="方正黑体_GBK" w:hAnsi="方正黑体_GBK" w:eastAsia="方正黑体_GBK" w:cs="方正黑体_GBK"/>
                <w:sz w:val="28"/>
                <w:szCs w:val="2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7</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6"/>
                <w:kern w:val="0"/>
                <w:sz w:val="28"/>
                <w:szCs w:val="28"/>
              </w:rPr>
              <w:t>年均每十万人受灾人次</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19129</w:t>
            </w:r>
            <w:r>
              <w:rPr>
                <w:rFonts w:hint="eastAsia" w:ascii="方正仿宋_GBK" w:hAnsi="方正仿宋_GBK" w:eastAsia="方正仿宋_GBK" w:cs="方正仿宋_GBK"/>
                <w:spacing w:val="8"/>
                <w:kern w:val="0"/>
                <w:sz w:val="28"/>
                <w:szCs w:val="28"/>
                <w:vertAlign w:val="superscript"/>
              </w:rPr>
              <w:t>※</w:t>
            </w:r>
          </w:p>
        </w:tc>
        <w:tc>
          <w:tcPr>
            <w:tcW w:w="1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≤19000</w:t>
            </w:r>
            <w:r>
              <w:rPr>
                <w:rFonts w:hint="eastAsia" w:ascii="方正仿宋_GBK" w:hAnsi="方正仿宋_GBK" w:eastAsia="方正仿宋_GBK" w:cs="方正仿宋_GBK"/>
                <w:spacing w:val="8"/>
                <w:kern w:val="0"/>
                <w:sz w:val="28"/>
                <w:szCs w:val="28"/>
                <w:vertAlign w:val="superscript"/>
              </w:rPr>
              <w:t>※</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25"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应</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急</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能</w:t>
            </w:r>
          </w:p>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黑体_GBK" w:hAnsi="方正黑体_GBK" w:eastAsia="方正黑体_GBK" w:cs="方正黑体_GBK"/>
                <w:spacing w:val="8"/>
                <w:kern w:val="0"/>
                <w:sz w:val="28"/>
                <w:szCs w:val="28"/>
              </w:rPr>
            </w:pPr>
            <w:r>
              <w:rPr>
                <w:rFonts w:hint="eastAsia" w:ascii="方正黑体_GBK" w:hAnsi="方正黑体_GBK" w:eastAsia="方正黑体_GBK" w:cs="方正黑体_GBK"/>
                <w:spacing w:val="8"/>
                <w:kern w:val="0"/>
                <w:sz w:val="28"/>
                <w:szCs w:val="28"/>
              </w:rPr>
              <w:t>力</w:t>
            </w:r>
          </w:p>
        </w:tc>
        <w:tc>
          <w:tcPr>
            <w:tcW w:w="6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8</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综合性消防救援人员占全区总人口的比例</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0.4‰</w:t>
            </w:r>
          </w:p>
        </w:tc>
        <w:tc>
          <w:tcPr>
            <w:tcW w:w="1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0.5‰</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shd w:val="clear" w:color="FFFFFF" w:fill="D9D9D9"/>
              </w:rPr>
            </w:pPr>
            <w:r>
              <w:rPr>
                <w:rFonts w:hint="eastAsia" w:ascii="方正仿宋_GBK" w:hAnsi="方正仿宋_GBK" w:eastAsia="方正仿宋_GBK" w:cs="方正仿宋_GBK"/>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2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632" w:firstLineChars="0"/>
              <w:rPr>
                <w:rFonts w:hint="eastAsia" w:ascii="方正仿宋_GBK" w:hAnsi="方正仿宋_GBK" w:eastAsia="方正仿宋_GBK" w:cs="方正仿宋_GBK"/>
                <w:sz w:val="28"/>
                <w:szCs w:val="2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9</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6"/>
                <w:kern w:val="0"/>
                <w:sz w:val="28"/>
                <w:szCs w:val="28"/>
              </w:rPr>
              <w:t>应急救援航空力量到达重大灾害事故风险地域</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≤3小时</w:t>
            </w:r>
          </w:p>
        </w:tc>
        <w:tc>
          <w:tcPr>
            <w:tcW w:w="1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≤2小时</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shd w:val="clear" w:color="FFFFFF" w:fill="D9D9D9"/>
              </w:rPr>
            </w:pPr>
            <w:r>
              <w:rPr>
                <w:rFonts w:hint="eastAsia" w:ascii="方正仿宋_GBK" w:hAnsi="方正仿宋_GBK" w:eastAsia="方正仿宋_GBK" w:cs="方正仿宋_GBK"/>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72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632" w:firstLineChars="0"/>
              <w:rPr>
                <w:rFonts w:hint="eastAsia" w:ascii="方正仿宋_GBK" w:hAnsi="方正仿宋_GBK" w:eastAsia="方正仿宋_GBK" w:cs="方正仿宋_GBK"/>
                <w:sz w:val="28"/>
                <w:szCs w:val="2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10</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灾害事故发生后受灾人员基本生活得到有效救助</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≤12小时</w:t>
            </w:r>
          </w:p>
        </w:tc>
        <w:tc>
          <w:tcPr>
            <w:tcW w:w="1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≤10小时</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shd w:val="clear" w:color="FFFFFF" w:fill="D9D9D9"/>
              </w:rPr>
            </w:pPr>
            <w:r>
              <w:rPr>
                <w:rFonts w:hint="eastAsia" w:ascii="方正仿宋_GBK" w:hAnsi="方正仿宋_GBK" w:eastAsia="方正仿宋_GBK" w:cs="方正仿宋_GBK"/>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725"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632" w:firstLineChars="0"/>
              <w:rPr>
                <w:rFonts w:hint="eastAsia" w:ascii="方正仿宋_GBK" w:hAnsi="方正仿宋_GBK" w:eastAsia="方正仿宋_GBK" w:cs="方正仿宋_GBK"/>
                <w:sz w:val="28"/>
                <w:szCs w:val="28"/>
              </w:rPr>
            </w:pPr>
          </w:p>
        </w:tc>
        <w:tc>
          <w:tcPr>
            <w:tcW w:w="6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spacing w:val="8"/>
                <w:kern w:val="0"/>
                <w:sz w:val="28"/>
                <w:szCs w:val="28"/>
              </w:rPr>
            </w:pPr>
            <w:r>
              <w:rPr>
                <w:rFonts w:hint="eastAsia" w:ascii="方正仿宋_GBK" w:hAnsi="方正仿宋_GBK" w:eastAsia="方正仿宋_GBK" w:cs="方正仿宋_GBK"/>
                <w:spacing w:val="8"/>
                <w:kern w:val="0"/>
                <w:sz w:val="28"/>
                <w:szCs w:val="28"/>
              </w:rPr>
              <w:t>11</w:t>
            </w:r>
          </w:p>
        </w:tc>
        <w:tc>
          <w:tcPr>
            <w:tcW w:w="27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旗县级以上应急管理部门专业人才占比</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40%</w:t>
            </w:r>
          </w:p>
        </w:tc>
        <w:tc>
          <w:tcPr>
            <w:tcW w:w="15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≥60%</w:t>
            </w:r>
          </w:p>
        </w:tc>
        <w:tc>
          <w:tcPr>
            <w:tcW w:w="93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jc w:val="center"/>
              <w:rPr>
                <w:rFonts w:hint="eastAsia" w:ascii="方正仿宋_GBK" w:hAnsi="方正仿宋_GBK" w:eastAsia="方正仿宋_GBK" w:cs="方正仿宋_GBK"/>
                <w:kern w:val="0"/>
                <w:sz w:val="28"/>
                <w:szCs w:val="28"/>
                <w:shd w:val="clear" w:color="FFFFFF" w:fill="D9D9D9"/>
              </w:rPr>
            </w:pPr>
            <w:r>
              <w:rPr>
                <w:rFonts w:hint="eastAsia" w:ascii="方正仿宋_GBK" w:hAnsi="方正仿宋_GBK" w:eastAsia="方正仿宋_GBK" w:cs="方正仿宋_GBK"/>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8957"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autoSpaceDE/>
              <w:autoSpaceDN/>
              <w:bidi w:val="0"/>
              <w:adjustRightInd w:val="0"/>
              <w:snapToGrid/>
              <w:spacing w:line="400" w:lineRule="exact"/>
              <w:ind w:firstLine="0" w:firstLineChars="0"/>
              <w:textAlignment w:val="center"/>
              <w:rPr>
                <w:rFonts w:hint="eastAsia" w:ascii="方正仿宋_GBK" w:hAnsi="方正仿宋_GBK" w:eastAsia="方正仿宋_GBK" w:cs="方正仿宋_GBK"/>
                <w:spacing w:val="8"/>
                <w:kern w:val="0"/>
                <w:sz w:val="28"/>
                <w:szCs w:val="28"/>
              </w:rPr>
            </w:pPr>
            <w:r>
              <w:rPr>
                <w:rFonts w:hint="eastAsia" w:ascii="方正楷体_GBK" w:hAnsi="方正楷体_GBK" w:eastAsia="方正楷体_GBK" w:cs="方正楷体_GBK"/>
                <w:spacing w:val="8"/>
                <w:kern w:val="0"/>
                <w:sz w:val="28"/>
                <w:szCs w:val="28"/>
              </w:rPr>
              <w:t>注：带※指标为五年平均数，其余为期末达到数。</w:t>
            </w:r>
          </w:p>
        </w:tc>
      </w:tr>
    </w:tbl>
    <w:p>
      <w:pPr>
        <w:keepNext w:val="0"/>
        <w:keepLines w:val="0"/>
        <w:pageBreakBefore w:val="0"/>
        <w:kinsoku/>
        <w:overflowPunct/>
        <w:topLinePunct/>
        <w:autoSpaceDE w:val="0"/>
        <w:autoSpaceDN w:val="0"/>
        <w:bidi w:val="0"/>
        <w:adjustRightInd w:val="0"/>
        <w:spacing w:before="298" w:beforeLines="50" w:after="298" w:afterLines="50" w:line="580" w:lineRule="exact"/>
        <w:jc w:val="center"/>
        <w:outlineLvl w:val="0"/>
        <w:rPr>
          <w:rFonts w:hint="eastAsia" w:ascii="方正黑体_GBK" w:hAnsi="方正黑体_GBK" w:eastAsia="方正黑体_GBK" w:cs="方正黑体_GBK"/>
          <w:sz w:val="32"/>
          <w:szCs w:val="32"/>
        </w:rPr>
      </w:pPr>
      <w:bookmarkStart w:id="517" w:name="_Toc12452"/>
      <w:bookmarkStart w:id="518" w:name="_Toc87346237"/>
      <w:bookmarkStart w:id="519" w:name="_Toc5444"/>
      <w:bookmarkStart w:id="520" w:name="_Toc21301"/>
      <w:bookmarkStart w:id="521" w:name="_Toc14254"/>
      <w:bookmarkStart w:id="522" w:name="_Toc17598"/>
      <w:bookmarkStart w:id="523" w:name="_Toc26275"/>
      <w:bookmarkStart w:id="524" w:name="_Toc8381"/>
      <w:bookmarkStart w:id="525" w:name="_Toc32604"/>
      <w:bookmarkStart w:id="526" w:name="_Toc4377"/>
      <w:bookmarkStart w:id="527" w:name="_Toc25592"/>
      <w:bookmarkStart w:id="528" w:name="_Toc11260"/>
      <w:bookmarkStart w:id="529" w:name="_Toc4432"/>
      <w:bookmarkStart w:id="530" w:name="_Toc18658"/>
      <w:bookmarkStart w:id="531" w:name="_Toc20835"/>
      <w:bookmarkStart w:id="532" w:name="_Toc20384"/>
      <w:bookmarkStart w:id="533" w:name="_Toc88078914"/>
      <w:bookmarkStart w:id="534" w:name="_Toc26467"/>
      <w:bookmarkStart w:id="535" w:name="_Toc25709"/>
      <w:bookmarkStart w:id="536" w:name="_Toc1321"/>
      <w:bookmarkStart w:id="537" w:name="_Toc9426"/>
      <w:bookmarkStart w:id="538" w:name="_Toc3936"/>
      <w:bookmarkStart w:id="539" w:name="_Toc25400"/>
      <w:bookmarkStart w:id="540" w:name="_Toc22792"/>
      <w:bookmarkStart w:id="541" w:name="_Toc29785"/>
      <w:bookmarkStart w:id="542" w:name="_Toc15270"/>
      <w:bookmarkStart w:id="543" w:name="_Toc23234"/>
      <w:bookmarkStart w:id="544" w:name="_Toc28252"/>
      <w:bookmarkStart w:id="545" w:name="_Toc12140"/>
      <w:bookmarkStart w:id="546" w:name="_Toc16727"/>
      <w:bookmarkStart w:id="547" w:name="_Toc6208"/>
      <w:bookmarkStart w:id="548" w:name="_Toc16042"/>
      <w:bookmarkStart w:id="549" w:name="_Toc29869"/>
      <w:bookmarkStart w:id="550" w:name="_Toc24056"/>
      <w:bookmarkStart w:id="551" w:name="_Toc20390"/>
      <w:bookmarkStart w:id="552" w:name="_Toc18494"/>
      <w:bookmarkStart w:id="553" w:name="_Toc29488"/>
      <w:bookmarkStart w:id="554" w:name="_Toc91769299"/>
      <w:bookmarkStart w:id="555" w:name="_Toc15032"/>
      <w:bookmarkStart w:id="556" w:name="_Toc32045"/>
      <w:bookmarkStart w:id="557" w:name="_Toc20535"/>
      <w:bookmarkStart w:id="558" w:name="_Toc15840"/>
      <w:bookmarkStart w:id="559" w:name="_Toc2899"/>
      <w:bookmarkStart w:id="560" w:name="_Toc12554"/>
      <w:bookmarkStart w:id="561" w:name="_Toc29333"/>
      <w:bookmarkStart w:id="562" w:name="_Toc28467"/>
      <w:bookmarkStart w:id="563" w:name="_Toc20521"/>
      <w:bookmarkStart w:id="564" w:name="_Toc31178"/>
      <w:bookmarkStart w:id="565" w:name="_Toc12031"/>
      <w:bookmarkStart w:id="566" w:name="_Toc3998"/>
      <w:bookmarkStart w:id="567" w:name="_Toc11806"/>
      <w:bookmarkStart w:id="568" w:name="_Toc2523"/>
      <w:bookmarkStart w:id="569" w:name="_Toc28084"/>
      <w:bookmarkStart w:id="570" w:name="_Toc7480"/>
      <w:bookmarkStart w:id="571" w:name="_Toc26490"/>
      <w:bookmarkStart w:id="572" w:name="_Toc9668"/>
      <w:bookmarkStart w:id="573" w:name="_Toc2658"/>
      <w:bookmarkStart w:id="574" w:name="_Toc14735"/>
      <w:bookmarkStart w:id="575" w:name="_Toc75374667"/>
      <w:bookmarkStart w:id="576" w:name="_Toc25181"/>
      <w:bookmarkStart w:id="577" w:name="_Toc22749"/>
      <w:bookmarkStart w:id="578" w:name="_Toc23622"/>
      <w:bookmarkStart w:id="579" w:name="_Toc10432"/>
      <w:r>
        <w:rPr>
          <w:rFonts w:hint="eastAsia" w:ascii="方正黑体_GBK" w:hAnsi="方正黑体_GBK" w:eastAsia="方正黑体_GBK" w:cs="方正黑体_GBK"/>
          <w:sz w:val="32"/>
          <w:szCs w:val="32"/>
        </w:rPr>
        <w:t>第三章 深化应急管理体制机制改革</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keepNext w:val="0"/>
        <w:keepLines w:val="0"/>
        <w:pageBreakBefore w:val="0"/>
        <w:kinsoku/>
        <w:overflowPunct/>
        <w:topLinePunct/>
        <w:bidi w:val="0"/>
        <w:spacing w:after="298" w:afterLines="50" w:line="580" w:lineRule="exact"/>
        <w:jc w:val="center"/>
        <w:outlineLvl w:val="1"/>
        <w:rPr>
          <w:rFonts w:hint="eastAsia" w:ascii="方正楷体_GBK" w:hAnsi="方正楷体_GBK" w:eastAsia="方正楷体_GBK" w:cs="方正楷体_GBK"/>
          <w:spacing w:val="8"/>
          <w:sz w:val="32"/>
          <w:szCs w:val="32"/>
        </w:rPr>
      </w:pPr>
      <w:bookmarkStart w:id="580" w:name="_Toc5505"/>
      <w:bookmarkStart w:id="581" w:name="_Toc26878"/>
      <w:bookmarkStart w:id="582" w:name="_Toc1589"/>
      <w:bookmarkStart w:id="583" w:name="_Toc8295"/>
      <w:bookmarkStart w:id="584" w:name="_Toc32655"/>
      <w:bookmarkStart w:id="585" w:name="_Toc28147"/>
      <w:bookmarkStart w:id="586" w:name="_Toc19012"/>
      <w:bookmarkStart w:id="587" w:name="_Toc88078915"/>
      <w:bookmarkStart w:id="588" w:name="_Toc28743"/>
      <w:bookmarkStart w:id="589" w:name="_Toc25102"/>
      <w:bookmarkStart w:id="590" w:name="_Toc13351"/>
      <w:bookmarkStart w:id="591" w:name="_Toc11214"/>
      <w:bookmarkStart w:id="592" w:name="_Toc20257"/>
      <w:bookmarkStart w:id="593" w:name="_Toc14577"/>
      <w:bookmarkStart w:id="594" w:name="_Toc10645"/>
      <w:bookmarkStart w:id="595" w:name="_Toc18823"/>
      <w:bookmarkStart w:id="596" w:name="_Toc30989"/>
      <w:bookmarkStart w:id="597" w:name="_Toc650"/>
      <w:bookmarkStart w:id="598" w:name="_Toc18888"/>
      <w:bookmarkStart w:id="599" w:name="_Toc22956"/>
      <w:bookmarkStart w:id="600" w:name="_Toc457"/>
      <w:bookmarkStart w:id="601" w:name="_Toc32615"/>
      <w:bookmarkStart w:id="602" w:name="_Toc2787"/>
      <w:bookmarkStart w:id="603" w:name="_Toc15986"/>
      <w:bookmarkStart w:id="604" w:name="_Toc91769300"/>
      <w:bookmarkStart w:id="605" w:name="_Toc13045"/>
      <w:bookmarkStart w:id="606" w:name="_Toc26089"/>
      <w:bookmarkStart w:id="607" w:name="_Toc14489"/>
      <w:bookmarkStart w:id="608" w:name="_Toc87346238"/>
      <w:bookmarkStart w:id="609" w:name="_Toc32370"/>
      <w:bookmarkStart w:id="610" w:name="_Toc24072"/>
      <w:bookmarkStart w:id="611" w:name="_Toc1078"/>
      <w:bookmarkStart w:id="612" w:name="_Toc16874"/>
      <w:bookmarkStart w:id="613" w:name="_Toc19881"/>
      <w:bookmarkStart w:id="614" w:name="_Toc12964"/>
      <w:bookmarkStart w:id="615" w:name="_Toc16677"/>
      <w:bookmarkStart w:id="616" w:name="_Toc15192"/>
      <w:bookmarkStart w:id="617" w:name="_Toc11626"/>
      <w:bookmarkStart w:id="618" w:name="_Toc32590"/>
      <w:bookmarkStart w:id="619" w:name="_Toc25176"/>
      <w:bookmarkStart w:id="620" w:name="_Toc22140"/>
      <w:bookmarkStart w:id="621" w:name="_Toc21140"/>
      <w:bookmarkStart w:id="622" w:name="_Toc17888"/>
      <w:bookmarkStart w:id="623" w:name="_Toc29103"/>
      <w:bookmarkStart w:id="624" w:name="_Toc29214"/>
      <w:bookmarkStart w:id="625" w:name="_Toc29449"/>
      <w:bookmarkStart w:id="626" w:name="_Toc31149"/>
      <w:bookmarkStart w:id="627" w:name="_Toc6105"/>
      <w:bookmarkStart w:id="628" w:name="_Toc3506"/>
      <w:bookmarkStart w:id="629" w:name="_Toc7069"/>
      <w:bookmarkStart w:id="630" w:name="_Toc14872"/>
      <w:bookmarkStart w:id="631" w:name="_Toc14580"/>
      <w:bookmarkStart w:id="632" w:name="_Toc29725"/>
      <w:bookmarkStart w:id="633" w:name="_Toc12172"/>
      <w:bookmarkStart w:id="634" w:name="_Toc25583"/>
      <w:r>
        <w:rPr>
          <w:rFonts w:hint="eastAsia" w:ascii="方正楷体_GBK" w:hAnsi="方正楷体_GBK" w:eastAsia="方正楷体_GBK" w:cs="方正楷体_GBK"/>
          <w:spacing w:val="8"/>
          <w:sz w:val="32"/>
          <w:szCs w:val="32"/>
          <w:lang w:eastAsia="zh-CN"/>
        </w:rPr>
        <w:t>第一节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健全组织领导体系</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Pr>
        <w:keepNext w:val="0"/>
        <w:keepLines w:val="0"/>
        <w:pageBreakBefore w:val="0"/>
        <w:kinsoku/>
        <w:overflowPunct/>
        <w:topLinePunct/>
        <w:autoSpaceDE w:val="0"/>
        <w:autoSpaceDN w:val="0"/>
        <w:bidi w:val="0"/>
        <w:adjustRightInd w:val="0"/>
        <w:spacing w:line="580" w:lineRule="exact"/>
        <w:ind w:firstLine="664"/>
        <w:rPr>
          <w:rFonts w:hint="eastAsia" w:ascii="方正仿宋_GBK" w:hAnsi="方正仿宋_GBK" w:eastAsia="方正仿宋_GBK" w:cs="方正仿宋_GBK"/>
          <w:strike/>
          <w:sz w:val="32"/>
          <w:szCs w:val="32"/>
        </w:rPr>
      </w:pPr>
      <w:r>
        <w:rPr>
          <w:rFonts w:hint="eastAsia" w:ascii="方正仿宋_GBK" w:hAnsi="方正仿宋_GBK" w:eastAsia="方正仿宋_GBK" w:cs="方正仿宋_GBK"/>
          <w:spacing w:val="8"/>
          <w:sz w:val="32"/>
          <w:szCs w:val="32"/>
        </w:rPr>
        <w:t>完善领导指挥体制。</w:t>
      </w:r>
      <w:r>
        <w:rPr>
          <w:rFonts w:hint="eastAsia" w:ascii="方正仿宋_GBK" w:hAnsi="方正仿宋_GBK" w:eastAsia="方正仿宋_GBK" w:cs="方正仿宋_GBK"/>
          <w:sz w:val="32"/>
          <w:szCs w:val="32"/>
        </w:rPr>
        <w:t>建立各级党委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政府领导下的应急管理领导机构、指挥机构和办事机构，明确指挥架构设置、职能关系，充分发挥相关议事协调机构的统筹推动作用，有效应对突发事件，</w:t>
      </w:r>
      <w:r>
        <w:rPr>
          <w:rFonts w:hint="eastAsia" w:ascii="方正仿宋_GBK" w:hAnsi="方正仿宋_GBK" w:eastAsia="方正仿宋_GBK" w:cs="方正仿宋_GBK"/>
          <w:sz w:val="32"/>
          <w:szCs w:val="32"/>
          <w:shd w:val="clear" w:color="auto" w:fill="FFFFFF"/>
        </w:rPr>
        <w:t>形成上下联动的应急指挥体系，实现各级党委</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政府统一领导，统一指挥各类应急救援队伍，统筹灾害事故救援全过程管理。推动成立应急管理委员会，</w:t>
      </w:r>
      <w:r>
        <w:rPr>
          <w:rFonts w:hint="eastAsia" w:ascii="方正仿宋_GBK" w:hAnsi="方正仿宋_GBK" w:eastAsia="方正仿宋_GBK" w:cs="方正仿宋_GBK"/>
          <w:sz w:val="32"/>
          <w:szCs w:val="32"/>
        </w:rPr>
        <w:t>负责领导指挥和组织协调</w:t>
      </w:r>
      <w:r>
        <w:rPr>
          <w:rFonts w:hint="eastAsia" w:ascii="方正仿宋_GBK" w:hAnsi="方正仿宋_GBK" w:eastAsia="方正仿宋_GBK" w:cs="方正仿宋_GBK"/>
          <w:sz w:val="32"/>
          <w:szCs w:val="32"/>
          <w:shd w:val="clear" w:color="auto" w:fill="FFFFFF"/>
        </w:rPr>
        <w:t>自然灾害、事故灾难</w:t>
      </w:r>
      <w:r>
        <w:rPr>
          <w:rFonts w:hint="eastAsia" w:ascii="方正仿宋_GBK" w:hAnsi="方正仿宋_GBK" w:eastAsia="方正仿宋_GBK" w:cs="方正仿宋_GBK"/>
          <w:sz w:val="32"/>
          <w:szCs w:val="32"/>
        </w:rPr>
        <w:t>综合预防管理和应急处置工作。</w:t>
      </w:r>
      <w:bookmarkStart w:id="635" w:name="_Toc9609"/>
      <w:bookmarkStart w:id="636" w:name="_Toc27149"/>
      <w:bookmarkStart w:id="637" w:name="_Toc28446"/>
      <w:bookmarkStart w:id="638" w:name="_Toc17814"/>
      <w:bookmarkStart w:id="639" w:name="_Toc19071"/>
      <w:bookmarkStart w:id="640" w:name="_Toc6689"/>
      <w:bookmarkStart w:id="641" w:name="_Toc718"/>
      <w:bookmarkStart w:id="642" w:name="_Toc23200"/>
      <w:bookmarkStart w:id="643" w:name="_Toc26723"/>
      <w:bookmarkStart w:id="644" w:name="_Toc1598"/>
      <w:bookmarkStart w:id="645" w:name="_Toc22491"/>
      <w:bookmarkStart w:id="646" w:name="_Toc15240"/>
      <w:bookmarkStart w:id="647" w:name="_Toc2720"/>
      <w:bookmarkStart w:id="648" w:name="_Toc25271"/>
      <w:bookmarkStart w:id="649" w:name="_Toc7399"/>
      <w:bookmarkStart w:id="650" w:name="_Toc14871"/>
      <w:bookmarkStart w:id="651" w:name="_Toc10439"/>
      <w:bookmarkStart w:id="652" w:name="_Toc16325"/>
      <w:bookmarkStart w:id="653" w:name="_Toc15544"/>
      <w:bookmarkStart w:id="654" w:name="_Toc14194"/>
      <w:bookmarkStart w:id="655" w:name="_Toc12538"/>
    </w:p>
    <w:p>
      <w:pPr>
        <w:keepNext w:val="0"/>
        <w:keepLines w:val="0"/>
        <w:pageBreakBefore w:val="0"/>
        <w:kinsoku/>
        <w:overflowPunct/>
        <w:topLinePunct/>
        <w:autoSpaceDE w:val="0"/>
        <w:autoSpaceDN w:val="0"/>
        <w:bidi w:val="0"/>
        <w:adjustRightInd w:val="0"/>
        <w:spacing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优化应急管理机制。</w:t>
      </w:r>
      <w:r>
        <w:rPr>
          <w:rFonts w:hint="eastAsia" w:ascii="方正仿宋_GBK" w:hAnsi="方正仿宋_GBK" w:eastAsia="方正仿宋_GBK" w:cs="方正仿宋_GBK"/>
          <w:sz w:val="32"/>
          <w:szCs w:val="32"/>
        </w:rPr>
        <w:t>坚持分级负责、属地为主的原则，明确各级各类灾害事故响应程序，进一步理顺防汛抗旱、森林草原防灭火、抗震救灾等指挥机制。</w:t>
      </w:r>
      <w:r>
        <w:rPr>
          <w:rFonts w:hint="eastAsia" w:ascii="方正仿宋_GBK" w:hAnsi="方正仿宋_GBK" w:eastAsia="方正仿宋_GBK" w:cs="方正仿宋_GBK"/>
          <w:sz w:val="32"/>
          <w:szCs w:val="32"/>
          <w:shd w:val="clear" w:color="auto" w:fill="FFFFFF"/>
        </w:rPr>
        <w:t>实施应急管理队伍准军事化管理，严格制度标准，强化执行落实，提高准军事化管理水平和战斗力。</w:t>
      </w:r>
      <w:r>
        <w:rPr>
          <w:rFonts w:hint="eastAsia" w:ascii="方正仿宋_GBK" w:hAnsi="方正仿宋_GBK" w:eastAsia="方正仿宋_GBK" w:cs="方正仿宋_GBK"/>
          <w:sz w:val="32"/>
          <w:szCs w:val="32"/>
        </w:rPr>
        <w:t>建立完善风险识别、隐患排查、监测预警、会商研判、应急响应、指挥处置、救援协同、应急保障等工作机制，全面加强灾害事故全过程防治能力。</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656" w:name="_Toc87346239"/>
      <w:bookmarkStart w:id="657" w:name="_Toc8659"/>
      <w:bookmarkStart w:id="658" w:name="_Toc7290"/>
      <w:bookmarkStart w:id="659" w:name="_Toc19125"/>
      <w:bookmarkStart w:id="660" w:name="_Toc6660"/>
      <w:bookmarkStart w:id="661" w:name="_Toc27619"/>
      <w:bookmarkStart w:id="662" w:name="_Toc4954"/>
      <w:bookmarkStart w:id="663" w:name="_Toc9925"/>
      <w:bookmarkStart w:id="664" w:name="_Toc14630"/>
      <w:bookmarkStart w:id="665" w:name="_Toc91769301"/>
      <w:bookmarkStart w:id="666" w:name="_Toc88078916"/>
      <w:bookmarkStart w:id="667" w:name="_Toc22645"/>
      <w:bookmarkStart w:id="668" w:name="_Toc17609"/>
      <w:r>
        <w:rPr>
          <w:rFonts w:hint="eastAsia" w:ascii="方正楷体_GBK" w:hAnsi="方正楷体_GBK" w:eastAsia="方正楷体_GBK" w:cs="方正楷体_GBK"/>
          <w:spacing w:val="8"/>
          <w:sz w:val="32"/>
          <w:szCs w:val="32"/>
          <w:lang w:eastAsia="zh-CN"/>
        </w:rPr>
        <w:t>第二节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强化应急管理责任</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6"/>
      <w:r>
        <w:rPr>
          <w:rFonts w:hint="eastAsia" w:ascii="方正楷体_GBK" w:hAnsi="方正楷体_GBK" w:eastAsia="方正楷体_GBK" w:cs="方正楷体_GBK"/>
          <w:spacing w:val="8"/>
          <w:sz w:val="32"/>
          <w:szCs w:val="32"/>
        </w:rPr>
        <w:t>落实</w:t>
      </w:r>
      <w:bookmarkEnd w:id="657"/>
      <w:bookmarkEnd w:id="658"/>
      <w:bookmarkEnd w:id="659"/>
      <w:bookmarkEnd w:id="660"/>
      <w:bookmarkEnd w:id="661"/>
      <w:bookmarkEnd w:id="662"/>
      <w:bookmarkEnd w:id="663"/>
      <w:bookmarkEnd w:id="664"/>
      <w:bookmarkEnd w:id="665"/>
      <w:bookmarkEnd w:id="666"/>
      <w:bookmarkEnd w:id="667"/>
      <w:bookmarkEnd w:id="668"/>
    </w:p>
    <w:bookmarkEnd w:id="655"/>
    <w:p>
      <w:pPr>
        <w:keepNext w:val="0"/>
        <w:keepLines w:val="0"/>
        <w:pageBreakBefore w:val="0"/>
        <w:kinsoku/>
        <w:overflowPunct/>
        <w:topLinePunct/>
        <w:bidi w:val="0"/>
        <w:spacing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严格落实各级党政领导责任。</w:t>
      </w:r>
      <w:r>
        <w:rPr>
          <w:rFonts w:hint="eastAsia" w:ascii="方正仿宋_GBK" w:hAnsi="方正仿宋_GBK" w:eastAsia="方正仿宋_GBK" w:cs="方正仿宋_GBK"/>
          <w:sz w:val="32"/>
          <w:szCs w:val="32"/>
          <w:shd w:val="clear" w:color="auto" w:fill="FFFFFF"/>
        </w:rPr>
        <w:t>落实“党政同责、一岗双责、齐抓共管、失职追责”的领导干部安全生产责任制，按照“分级负责、属地管理”的原则，层层制定党政领导干部安全生产“职责清单”和年度“工作清单”，持续优化应急管理工作在高质量发展和领导干部政绩考核评价指标体系中的权重，严格落实安全生产“一票否决”制度。</w:t>
      </w:r>
    </w:p>
    <w:p>
      <w:pPr>
        <w:keepNext w:val="0"/>
        <w:keepLines w:val="0"/>
        <w:pageBreakBefore w:val="0"/>
        <w:kinsoku/>
        <w:overflowPunct/>
        <w:topLinePunct/>
        <w:bidi w:val="0"/>
        <w:spacing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严格落实行业部门监管责任。</w:t>
      </w:r>
      <w:r>
        <w:rPr>
          <w:rFonts w:hint="eastAsia" w:ascii="方正仿宋_GBK" w:hAnsi="方正仿宋_GBK" w:eastAsia="方正仿宋_GBK" w:cs="方正仿宋_GBK"/>
          <w:sz w:val="32"/>
          <w:szCs w:val="32"/>
          <w:shd w:val="clear" w:color="auto" w:fill="FFFFFF"/>
        </w:rPr>
        <w:t>按照“管行业必须管安全、管业务必须管安全、管生产经营必须管安全”的要求，落实行业部门监管责任，切实加强对本行业领域及职责范围内的安全监督</w:t>
      </w:r>
      <w:r>
        <w:rPr>
          <w:rFonts w:hint="eastAsia" w:ascii="方正仿宋_GBK" w:hAnsi="方正仿宋_GBK" w:eastAsia="方正仿宋_GBK" w:cs="方正仿宋_GBK"/>
          <w:spacing w:val="6"/>
          <w:sz w:val="32"/>
          <w:szCs w:val="32"/>
          <w:shd w:val="clear" w:color="auto" w:fill="FFFFFF"/>
        </w:rPr>
        <w:t>管理，消除监管盲区、堵塞漏洞。统筹推进行业部门落实安全生产责任，研究制定职责分工，建立部门监管职责动态完善机制，不断厘清部门职责清单，实现权责清单</w:t>
      </w:r>
      <w:r>
        <w:rPr>
          <w:rFonts w:hint="eastAsia" w:ascii="方正仿宋_GBK" w:hAnsi="方正仿宋_GBK" w:eastAsia="方正仿宋_GBK" w:cs="方正仿宋_GBK"/>
          <w:spacing w:val="6"/>
          <w:sz w:val="32"/>
          <w:szCs w:val="32"/>
          <w:shd w:val="clear" w:color="auto" w:fill="FFFFFF"/>
          <w:lang w:eastAsia="zh-CN"/>
        </w:rPr>
        <w:t>与</w:t>
      </w:r>
      <w:r>
        <w:rPr>
          <w:rFonts w:hint="eastAsia" w:ascii="方正仿宋_GBK" w:hAnsi="方正仿宋_GBK" w:eastAsia="方正仿宋_GBK" w:cs="方正仿宋_GBK"/>
          <w:spacing w:val="6"/>
          <w:sz w:val="32"/>
          <w:szCs w:val="32"/>
          <w:shd w:val="clear" w:color="auto" w:fill="FFFFFF"/>
        </w:rPr>
        <w:t>“三定”规定</w:t>
      </w:r>
      <w:r>
        <w:rPr>
          <w:rFonts w:hint="eastAsia" w:ascii="方正仿宋_GBK" w:hAnsi="方正仿宋_GBK" w:eastAsia="方正仿宋_GBK" w:cs="方正仿宋_GBK"/>
          <w:spacing w:val="6"/>
          <w:sz w:val="32"/>
          <w:szCs w:val="32"/>
          <w:shd w:val="clear" w:color="auto" w:fill="FFFFFF"/>
          <w:lang w:eastAsia="zh-CN"/>
        </w:rPr>
        <w:t>的</w:t>
      </w:r>
      <w:r>
        <w:rPr>
          <w:rFonts w:hint="eastAsia" w:ascii="方正仿宋_GBK" w:hAnsi="方正仿宋_GBK" w:eastAsia="方正仿宋_GBK" w:cs="方正仿宋_GBK"/>
          <w:spacing w:val="6"/>
          <w:sz w:val="32"/>
          <w:szCs w:val="32"/>
          <w:shd w:val="clear" w:color="auto" w:fill="FFFFFF"/>
        </w:rPr>
        <w:t>有机衔接。</w:t>
      </w:r>
    </w:p>
    <w:p>
      <w:pPr>
        <w:keepNext w:val="0"/>
        <w:keepLines w:val="0"/>
        <w:pageBreakBefore w:val="0"/>
        <w:widowControl w:val="0"/>
        <w:kinsoku/>
        <w:wordWrap/>
        <w:overflowPunct/>
        <w:topLinePunct/>
        <w:autoSpaceDE/>
        <w:autoSpaceDN/>
        <w:bidi w:val="0"/>
        <w:adjustRightInd/>
        <w:snapToGrid/>
        <w:spacing w:line="580" w:lineRule="exact"/>
        <w:ind w:firstLine="663"/>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严格落实生产经营单位主体责任。</w:t>
      </w:r>
      <w:r>
        <w:rPr>
          <w:rFonts w:hint="eastAsia" w:ascii="方正仿宋_GBK" w:hAnsi="方正仿宋_GBK" w:eastAsia="方正仿宋_GBK" w:cs="方正仿宋_GBK"/>
          <w:sz w:val="32"/>
          <w:szCs w:val="32"/>
        </w:rPr>
        <w:t>推动形成和完善以落实生产经营单位主要负责人安全责任为重点的全员安全生产责任制</w:t>
      </w:r>
      <w:r>
        <w:rPr>
          <w:rFonts w:hint="eastAsia" w:ascii="方正仿宋_GBK" w:hAnsi="方正仿宋_GBK" w:eastAsia="方正仿宋_GBK" w:cs="方正仿宋_GBK"/>
          <w:sz w:val="32"/>
          <w:szCs w:val="32"/>
          <w:shd w:val="clear" w:color="auto" w:fill="FFFFFF"/>
        </w:rPr>
        <w:t>，加强安全生产标准化、信息化建设，构建安全风险分级管控和隐患排查治理双重预防机制，做到安全责任、投入、培训、管理和应急救援“五到位”。推动重点监管企业组建安全生产管理和技术团队，高危行业企业全面推行安全生产责任保险制度，实施工伤预防行动计划，有效降低安全风险，提升企业履行主体责任能力。</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669" w:name="_Toc21083"/>
      <w:bookmarkStart w:id="670" w:name="_Toc8741"/>
      <w:bookmarkStart w:id="671" w:name="_Toc26708"/>
      <w:bookmarkStart w:id="672" w:name="_Toc13889"/>
      <w:bookmarkStart w:id="673" w:name="_Toc32282"/>
      <w:bookmarkStart w:id="674" w:name="_Toc17202"/>
      <w:bookmarkStart w:id="675" w:name="_Toc19148"/>
      <w:bookmarkStart w:id="676" w:name="_Toc12789"/>
      <w:bookmarkStart w:id="677" w:name="_Toc30106"/>
      <w:bookmarkStart w:id="678" w:name="_Toc6782"/>
      <w:bookmarkStart w:id="679" w:name="_Toc93"/>
      <w:bookmarkStart w:id="680" w:name="_Toc23857"/>
      <w:bookmarkStart w:id="681" w:name="_Toc13156"/>
      <w:bookmarkStart w:id="682" w:name="_Toc28028"/>
      <w:bookmarkStart w:id="683" w:name="_Toc15486"/>
      <w:bookmarkStart w:id="684" w:name="_Toc9867"/>
      <w:bookmarkStart w:id="685" w:name="_Toc22349"/>
      <w:bookmarkStart w:id="686" w:name="_Toc32721"/>
      <w:bookmarkStart w:id="687" w:name="_Toc9042"/>
      <w:bookmarkStart w:id="688" w:name="_Toc88078917"/>
      <w:bookmarkStart w:id="689" w:name="_Toc16617"/>
      <w:bookmarkStart w:id="690" w:name="_Toc31550"/>
      <w:bookmarkStart w:id="691" w:name="_Toc13129"/>
      <w:bookmarkStart w:id="692" w:name="_Toc3216"/>
      <w:bookmarkStart w:id="693" w:name="_Toc29206"/>
      <w:bookmarkStart w:id="694" w:name="_Toc87346240"/>
      <w:bookmarkStart w:id="695" w:name="_Toc13957"/>
      <w:bookmarkStart w:id="696" w:name="_Toc7128"/>
      <w:bookmarkStart w:id="697" w:name="_Toc32439"/>
      <w:bookmarkStart w:id="698" w:name="_Toc32524"/>
      <w:bookmarkStart w:id="699" w:name="_Toc27281"/>
      <w:bookmarkStart w:id="700" w:name="_Toc17729"/>
      <w:bookmarkStart w:id="701" w:name="_Toc91769302"/>
      <w:bookmarkStart w:id="702" w:name="_Toc26837"/>
      <w:bookmarkStart w:id="703" w:name="_Toc7077"/>
      <w:r>
        <w:rPr>
          <w:rFonts w:hint="eastAsia" w:ascii="方正楷体_GBK" w:hAnsi="方正楷体_GBK" w:eastAsia="方正楷体_GBK" w:cs="方正楷体_GBK"/>
          <w:spacing w:val="8"/>
          <w:sz w:val="32"/>
          <w:szCs w:val="32"/>
          <w:lang w:eastAsia="zh-CN"/>
        </w:rPr>
        <w:t>第三节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优化应急协同机制</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pPr>
        <w:keepNext w:val="0"/>
        <w:keepLines w:val="0"/>
        <w:pageBreakBefore w:val="0"/>
        <w:kinsoku/>
        <w:overflowPunct/>
        <w:topLinePunct/>
        <w:bidi w:val="0"/>
        <w:spacing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强化部门协同。</w:t>
      </w:r>
      <w:r>
        <w:rPr>
          <w:rFonts w:hint="eastAsia" w:ascii="方正仿宋_GBK" w:hAnsi="方正仿宋_GBK" w:eastAsia="方正仿宋_GBK" w:cs="方正仿宋_GBK"/>
          <w:sz w:val="32"/>
          <w:szCs w:val="32"/>
          <w:shd w:val="clear" w:color="auto" w:fill="FFFFFF"/>
        </w:rPr>
        <w:t>充分发挥应急管理部门综合优势和各相关部门行业优势，明确各部门在事故预防、灾害防治、抢险救援、物资保障、恢复重建、维护稳定等方面的工作职责，加强日常定期会商研判、突发事件紧急会商研判，衔接好“防”“救”责任链条，形成整体合力。加强统一指挥和协调配合，实现预案联动、信息联动、队伍联动、物资联动。</w:t>
      </w:r>
    </w:p>
    <w:p>
      <w:pPr>
        <w:keepNext w:val="0"/>
        <w:keepLines w:val="0"/>
        <w:pageBreakBefore w:val="0"/>
        <w:kinsoku/>
        <w:overflowPunct/>
        <w:topLinePunct/>
        <w:bidi w:val="0"/>
        <w:spacing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强化区域协同。</w:t>
      </w:r>
      <w:r>
        <w:rPr>
          <w:rFonts w:hint="eastAsia" w:ascii="方正仿宋_GBK" w:hAnsi="方正仿宋_GBK" w:eastAsia="方正仿宋_GBK" w:cs="方正仿宋_GBK"/>
          <w:sz w:val="32"/>
          <w:szCs w:val="32"/>
          <w:shd w:val="clear" w:color="auto" w:fill="FFFFFF"/>
        </w:rPr>
        <w:t>结合自治区新型城镇化、乡村振兴和区域协同发展等战略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FFFFFF"/>
        </w:rPr>
        <w:t>统筹构建跨盟市区域灾害监测预警、应急物资储备、联合应急救援、恢复重建等体系，完善自然灾害高风险地区、重点城市群区域协调联动机制，提高灾害联防联控和协同响应能力。加强重大风险的联防联控，联合开展区域风险隐患普查，编制区域重大突发事件应急预案，定期组织综合应急演练。</w:t>
      </w:r>
      <w:r>
        <w:rPr>
          <w:rFonts w:hint="eastAsia" w:ascii="方正仿宋_GBK" w:hAnsi="方正仿宋_GBK" w:eastAsia="方正仿宋_GBK" w:cs="方正仿宋_GBK"/>
          <w:sz w:val="32"/>
          <w:szCs w:val="32"/>
        </w:rPr>
        <w:t>落实跨省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区</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应急协同应对和联合指挥机制，细化处置工作流程，提升跨省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区</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联合应对自然灾害和事故灾难能力，定期举办综合应急演练。</w:t>
      </w:r>
    </w:p>
    <w:p>
      <w:pPr>
        <w:keepNext w:val="0"/>
        <w:keepLines w:val="0"/>
        <w:pageBreakBefore w:val="0"/>
        <w:kinsoku/>
        <w:overflowPunct/>
        <w:topLinePunct/>
        <w:bidi w:val="0"/>
        <w:spacing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强化军地协同。</w:t>
      </w:r>
      <w:r>
        <w:rPr>
          <w:rFonts w:hint="eastAsia" w:ascii="方正仿宋_GBK" w:hAnsi="方正仿宋_GBK" w:eastAsia="方正仿宋_GBK" w:cs="方正仿宋_GBK"/>
          <w:sz w:val="32"/>
          <w:szCs w:val="32"/>
          <w:shd w:val="clear" w:color="auto" w:fill="FFFFFF"/>
        </w:rPr>
        <w:t>将驻区解放军和武警部队应急力量纳入全区应急力量体系建设，统筹规划，建立健全军地协调联动机制。积极推进军地应急力量训练场地开放共享，将应急救援纳入日常培训演训范围，强化军地联动指挥、灾情动态通报和兵力需求对接，开展常态化联演联训。建立军地联合应急保障机制，推动军地数据共享和资源共用。</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704" w:name="_Toc87346241"/>
      <w:bookmarkStart w:id="705" w:name="_Toc18741"/>
      <w:bookmarkStart w:id="706" w:name="_Toc4854"/>
      <w:bookmarkStart w:id="707" w:name="_Toc91769303"/>
      <w:bookmarkStart w:id="708" w:name="_Toc19395"/>
      <w:bookmarkStart w:id="709" w:name="_Toc88078918"/>
      <w:bookmarkStart w:id="710" w:name="_Toc3797"/>
      <w:bookmarkStart w:id="711" w:name="_Toc32472"/>
      <w:bookmarkStart w:id="712" w:name="_Toc11710"/>
      <w:bookmarkStart w:id="713" w:name="_Toc6615"/>
      <w:bookmarkStart w:id="714" w:name="_Toc2964"/>
      <w:bookmarkStart w:id="715" w:name="_Toc18065"/>
      <w:bookmarkStart w:id="716" w:name="_Toc7322"/>
      <w:bookmarkStart w:id="717" w:name="_Toc11530"/>
      <w:bookmarkStart w:id="718" w:name="_Toc18328"/>
      <w:bookmarkStart w:id="719" w:name="_Toc30994"/>
      <w:bookmarkStart w:id="720" w:name="_Toc22653"/>
      <w:bookmarkStart w:id="721" w:name="_Toc10805"/>
      <w:bookmarkStart w:id="722" w:name="_Toc23263"/>
      <w:bookmarkStart w:id="723" w:name="_Toc17580"/>
      <w:bookmarkStart w:id="724" w:name="_Toc6481"/>
      <w:bookmarkStart w:id="725" w:name="_Toc23516"/>
      <w:bookmarkStart w:id="726" w:name="_Toc2298"/>
      <w:bookmarkStart w:id="727" w:name="_Toc26315"/>
      <w:bookmarkStart w:id="728" w:name="_Toc23827"/>
      <w:bookmarkStart w:id="729" w:name="_Toc11169"/>
      <w:bookmarkStart w:id="730" w:name="_Toc17297"/>
      <w:bookmarkStart w:id="731" w:name="_Toc28724"/>
      <w:bookmarkStart w:id="732" w:name="_Toc1106"/>
      <w:bookmarkStart w:id="733" w:name="_Toc8033"/>
      <w:bookmarkStart w:id="734" w:name="_Toc9141"/>
      <w:bookmarkStart w:id="735" w:name="_Toc28288"/>
      <w:bookmarkStart w:id="736" w:name="_Toc31383"/>
      <w:bookmarkStart w:id="737" w:name="_Toc9286"/>
      <w:bookmarkStart w:id="738" w:name="_Toc11036"/>
      <w:bookmarkStart w:id="739" w:name="_Toc16824"/>
      <w:bookmarkStart w:id="740" w:name="_Toc2894"/>
      <w:bookmarkStart w:id="741" w:name="_Toc15568"/>
      <w:bookmarkStart w:id="742" w:name="_Toc7462"/>
      <w:bookmarkStart w:id="743" w:name="_Toc7245"/>
      <w:bookmarkStart w:id="744" w:name="_Toc31328"/>
      <w:bookmarkStart w:id="745" w:name="_Toc1842"/>
      <w:bookmarkStart w:id="746" w:name="_Toc29727"/>
      <w:bookmarkStart w:id="747" w:name="_Toc30228"/>
      <w:bookmarkStart w:id="748" w:name="_Toc12034"/>
      <w:bookmarkStart w:id="749" w:name="_Toc15194"/>
      <w:bookmarkStart w:id="750" w:name="_Toc13823"/>
      <w:bookmarkStart w:id="751" w:name="_Toc23258"/>
      <w:bookmarkStart w:id="752" w:name="_Toc13096"/>
      <w:bookmarkStart w:id="753" w:name="_Toc32087"/>
      <w:bookmarkStart w:id="754" w:name="_Toc6770"/>
      <w:bookmarkStart w:id="755" w:name="_Toc21642"/>
      <w:bookmarkStart w:id="756" w:name="_Toc29599"/>
      <w:bookmarkStart w:id="757" w:name="_Toc25128"/>
      <w:bookmarkStart w:id="758" w:name="_Toc3098"/>
      <w:bookmarkStart w:id="759" w:name="_Toc18036"/>
      <w:bookmarkStart w:id="760" w:name="_Toc19509"/>
      <w:bookmarkStart w:id="761" w:name="_Toc5571"/>
      <w:bookmarkStart w:id="762" w:name="_Toc17386"/>
      <w:bookmarkStart w:id="763" w:name="_Toc30178"/>
      <w:bookmarkStart w:id="764" w:name="_Toc17397"/>
      <w:bookmarkStart w:id="765" w:name="_Toc24929"/>
      <w:r>
        <w:rPr>
          <w:rFonts w:hint="eastAsia" w:ascii="方正楷体_GBK" w:hAnsi="方正楷体_GBK" w:eastAsia="方正楷体_GBK" w:cs="方正楷体_GBK"/>
          <w:spacing w:val="8"/>
          <w:sz w:val="32"/>
          <w:szCs w:val="32"/>
          <w:lang w:eastAsia="zh-CN"/>
        </w:rPr>
        <w:t>第四节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推进应急法治建设</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Pr>
        <w:keepNext w:val="0"/>
        <w:keepLines w:val="0"/>
        <w:pageBreakBefore w:val="0"/>
        <w:widowControl w:val="0"/>
        <w:kinsoku/>
        <w:wordWrap/>
        <w:overflowPunct w:val="0"/>
        <w:topLinePunct w:val="0"/>
        <w:autoSpaceDE/>
        <w:autoSpaceDN/>
        <w:bidi w:val="0"/>
        <w:adjustRightInd w:val="0"/>
        <w:snapToGrid/>
        <w:spacing w:line="580" w:lineRule="exact"/>
        <w:ind w:firstLine="663"/>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完善法规规章框架。</w:t>
      </w:r>
      <w:r>
        <w:rPr>
          <w:rFonts w:hint="eastAsia" w:ascii="方正仿宋_GBK" w:hAnsi="方正仿宋_GBK" w:eastAsia="方正仿宋_GBK" w:cs="方正仿宋_GBK"/>
          <w:sz w:val="32"/>
          <w:szCs w:val="32"/>
          <w:shd w:val="clear" w:color="auto" w:fill="FFFFFF"/>
        </w:rPr>
        <w:t>进一步增强地方立法的针对性，有步骤、分阶段推进重点领域立法。结合国家应急管理法律</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法规立法进程，推动自治区应急管理法规制度的立改废释。修订完善《内蒙古自治区安全生产条例》《内蒙古自治区森林草原防火条例》《内蒙古自治区消防条例》等地方性法规和政府规章。推进危险化学品、油气管网、矿山等重点领域及人员密集场所等重点区域的配套地方性法规、规章的制定、修订工作。加强自然灾害救助、应急物资保障等工作规范化、法治化建设。建立常态化普法教育机制，落实“谁执法谁普法”的普法责任制。</w:t>
      </w:r>
    </w:p>
    <w:p>
      <w:pPr>
        <w:keepNext w:val="0"/>
        <w:keepLines w:val="0"/>
        <w:pageBreakBefore w:val="0"/>
        <w:kinsoku/>
        <w:overflowPunct/>
        <w:topLinePunct/>
        <w:bidi w:val="0"/>
        <w:adjustRightInd w:val="0"/>
        <w:spacing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健全应急管理标准。</w:t>
      </w:r>
      <w:r>
        <w:rPr>
          <w:rFonts w:hint="eastAsia" w:ascii="方正仿宋_GBK" w:hAnsi="方正仿宋_GBK" w:eastAsia="方正仿宋_GBK" w:cs="方正仿宋_GBK"/>
          <w:sz w:val="32"/>
          <w:szCs w:val="32"/>
          <w:shd w:val="clear" w:color="auto" w:fill="FFFFFF"/>
        </w:rPr>
        <w:t>贯彻落实国家有关标准，推动地方应急管理领域各类技术标准制修订工作，加强技术标准的应用实施和宣传培训</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FFFFFF"/>
        </w:rPr>
        <w:t>推动企业标准化与企业安全生产治理体系深度融合，鼓励有条件的大型企业制定新产品、新材料、新工艺企业安全技术标准，推动企业依据安全生产标准制定完善作业规程和岗位安全操作规程。</w:t>
      </w:r>
    </w:p>
    <w:p>
      <w:pPr>
        <w:keepNext w:val="0"/>
        <w:keepLines w:val="0"/>
        <w:pageBreakBefore w:val="0"/>
        <w:kinsoku/>
        <w:overflowPunct/>
        <w:topLinePunct/>
        <w:bidi w:val="0"/>
        <w:adjustRightInd w:val="0"/>
        <w:spacing w:line="580" w:lineRule="exact"/>
        <w:ind w:firstLine="664"/>
        <w:rPr>
          <w:rFonts w:hint="eastAsia" w:ascii="方正仿宋_GBK" w:hAnsi="方正仿宋_GBK" w:eastAsia="方正仿宋_GBK" w:cs="方正仿宋_GBK"/>
          <w:sz w:val="32"/>
          <w:szCs w:val="32"/>
        </w:rPr>
      </w:pPr>
      <w:bookmarkStart w:id="766" w:name="_Toc21837"/>
      <w:bookmarkStart w:id="767" w:name="_Toc9249"/>
      <w:bookmarkStart w:id="768" w:name="_Toc14178"/>
      <w:bookmarkStart w:id="769" w:name="_Toc472"/>
      <w:bookmarkStart w:id="770" w:name="_Toc10186"/>
      <w:bookmarkStart w:id="771" w:name="_Toc28222"/>
      <w:bookmarkStart w:id="772" w:name="_Toc27496"/>
      <w:bookmarkStart w:id="773" w:name="_Toc27632"/>
      <w:bookmarkStart w:id="774" w:name="_Toc28744"/>
      <w:bookmarkStart w:id="775" w:name="_Toc32119"/>
      <w:bookmarkStart w:id="776" w:name="_Toc24096"/>
      <w:bookmarkStart w:id="777" w:name="_Toc15008"/>
      <w:bookmarkStart w:id="778" w:name="_Toc11962"/>
      <w:bookmarkStart w:id="779" w:name="_Toc29387"/>
      <w:bookmarkStart w:id="780" w:name="_Toc27981"/>
      <w:bookmarkStart w:id="781" w:name="_Toc4330"/>
      <w:bookmarkStart w:id="782" w:name="_Toc14612"/>
      <w:bookmarkStart w:id="783" w:name="_Toc14460"/>
      <w:bookmarkStart w:id="784" w:name="_Toc12637"/>
      <w:bookmarkStart w:id="785" w:name="_Toc13433"/>
      <w:r>
        <w:rPr>
          <w:rFonts w:hint="eastAsia" w:ascii="方正仿宋_GBK" w:hAnsi="方正仿宋_GBK" w:eastAsia="方正仿宋_GBK" w:cs="方正仿宋_GBK"/>
          <w:spacing w:val="8"/>
          <w:sz w:val="32"/>
          <w:szCs w:val="32"/>
        </w:rPr>
        <w:t>推动依法行政决策。</w:t>
      </w:r>
      <w:r>
        <w:rPr>
          <w:rFonts w:hint="eastAsia" w:ascii="方正仿宋_GBK" w:hAnsi="方正仿宋_GBK" w:eastAsia="方正仿宋_GBK" w:cs="方正仿宋_GBK"/>
          <w:sz w:val="32"/>
          <w:szCs w:val="32"/>
          <w:shd w:val="clear" w:color="auto" w:fill="FFFFFF"/>
        </w:rPr>
        <w:t>分类管理一般行政决策和重大行政决策，完善公众参与、专家论证、风险评估、合法性审查、集体讨论决定等法定程序和配套制度。建立依法应急决策制度，规范启动条件、实施方式、尽职免责等内容。深化行政审批制度改革，推进应急管理领域“放管服”改革，有序推进应急管理领域“证照分离”，加强事中事后监管，营造有利于各类投资主体公平有序竞争的市场环境。</w:t>
      </w:r>
    </w:p>
    <w:p>
      <w:pPr>
        <w:keepNext w:val="0"/>
        <w:keepLines w:val="0"/>
        <w:pageBreakBefore w:val="0"/>
        <w:kinsoku/>
        <w:overflowPunct/>
        <w:topLinePunct/>
        <w:autoSpaceDE w:val="0"/>
        <w:autoSpaceDN w:val="0"/>
        <w:bidi w:val="0"/>
        <w:adjustRightInd w:val="0"/>
        <w:spacing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加强行政执法改革。</w:t>
      </w:r>
      <w:r>
        <w:rPr>
          <w:rFonts w:hint="eastAsia" w:ascii="方正仿宋_GBK" w:hAnsi="方正仿宋_GBK" w:eastAsia="方正仿宋_GBK" w:cs="方正仿宋_GBK"/>
          <w:sz w:val="32"/>
          <w:szCs w:val="32"/>
          <w:shd w:val="clear" w:color="auto" w:fill="FFFFFF"/>
        </w:rPr>
        <w:t>深化应急管理综合行政执法改革，制定自治区深化应急管理综合行政执法改革的实施意见，加快形成应急管理综合行政执法体系。整合监管执法职能，合理划分应急管理执法管辖权限，明确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自治区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盟市</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旗县（市、区）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苏木乡镇（街道）</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四级执法范围和执法重点，实施分级分类精准执法。对苏木乡镇（街道）有能力承担的简易执法事项，依法授权或委托开展执法。</w:t>
      </w:r>
    </w:p>
    <w:p>
      <w:pPr>
        <w:keepNext w:val="0"/>
        <w:keepLines w:val="0"/>
        <w:pageBreakBefore w:val="0"/>
        <w:shd w:val="clear" w:color="auto" w:fill="FFFFFF"/>
        <w:kinsoku/>
        <w:overflowPunct/>
        <w:topLinePunct/>
        <w:bidi w:val="0"/>
        <w:adjustRightInd w:val="0"/>
        <w:spacing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加强执法能力建设。</w:t>
      </w:r>
      <w:r>
        <w:rPr>
          <w:rFonts w:hint="eastAsia" w:ascii="方正仿宋_GBK" w:hAnsi="方正仿宋_GBK" w:eastAsia="方正仿宋_GBK" w:cs="方正仿宋_GBK"/>
          <w:sz w:val="32"/>
          <w:szCs w:val="32"/>
          <w:shd w:val="clear" w:color="auto" w:fill="FFFFFF"/>
        </w:rPr>
        <w:t>按标准统筹配置应急管理执法资源和执法力量，突出基层安全生产监管执法保障。加强执法装备信息化、智能化建设，推进综合行政执法队伍和执法人员执法专业装备、个人防护装备以及制式服装等配备应用，强化执法用车保障，提升监管执法能力。</w:t>
      </w:r>
      <w:r>
        <w:rPr>
          <w:rFonts w:hint="eastAsia" w:ascii="方正仿宋_GBK" w:hAnsi="方正仿宋_GBK" w:eastAsia="方正仿宋_GBK" w:cs="方正仿宋_GBK"/>
          <w:sz w:val="32"/>
          <w:szCs w:val="32"/>
        </w:rPr>
        <w:t>持续推进“互联网+执法”，</w:t>
      </w:r>
      <w:r>
        <w:rPr>
          <w:rFonts w:hint="eastAsia" w:ascii="方正仿宋_GBK" w:hAnsi="方正仿宋_GBK" w:eastAsia="方正仿宋_GBK" w:cs="方正仿宋_GBK"/>
          <w:sz w:val="32"/>
          <w:szCs w:val="32"/>
          <w:shd w:val="clear" w:color="auto" w:fill="FFFFFF"/>
        </w:rPr>
        <w:t>建立完善执法数据库，将综合执法检查和办案业务纳入自治区“互联网+监管”平台，推动执法业务与信息化建设相互融合。</w:t>
      </w:r>
      <w:r>
        <w:rPr>
          <w:rFonts w:hint="eastAsia" w:ascii="方正仿宋_GBK" w:hAnsi="方正仿宋_GBK" w:eastAsia="方正仿宋_GBK" w:cs="方正仿宋_GBK"/>
          <w:sz w:val="32"/>
          <w:szCs w:val="32"/>
        </w:rPr>
        <w:t>实施自治区应急管</w:t>
      </w:r>
      <w:r>
        <w:rPr>
          <w:rFonts w:hint="eastAsia" w:ascii="方正仿宋_GBK" w:hAnsi="方正仿宋_GBK" w:eastAsia="方正仿宋_GBK" w:cs="方正仿宋_GBK"/>
          <w:spacing w:val="6"/>
          <w:sz w:val="32"/>
          <w:szCs w:val="32"/>
        </w:rPr>
        <w:t>理综合行政执法队伍素质能力提升专项行动，不断提升执法效能。</w:t>
      </w:r>
      <w:r>
        <w:rPr>
          <w:rFonts w:hint="eastAsia" w:ascii="方正仿宋_GBK" w:hAnsi="方正仿宋_GBK" w:eastAsia="方正仿宋_GBK" w:cs="方正仿宋_GBK"/>
          <w:spacing w:val="6"/>
          <w:sz w:val="32"/>
          <w:szCs w:val="32"/>
          <w:shd w:val="clear" w:color="auto" w:fill="FFFFFF"/>
        </w:rPr>
        <w:t>建立执法人员入职培训、定期轮训和考核制度，</w:t>
      </w:r>
      <w:r>
        <w:rPr>
          <w:rFonts w:hint="eastAsia" w:ascii="方正仿宋_GBK" w:hAnsi="方正仿宋_GBK" w:eastAsia="方正仿宋_GBK" w:cs="方正仿宋_GBK"/>
          <w:spacing w:val="6"/>
          <w:sz w:val="32"/>
          <w:szCs w:val="32"/>
        </w:rPr>
        <w:t>完善行政执法人员培训考试系统，保证全区各级安全生产执法人员培训到位。</w:t>
      </w:r>
    </w:p>
    <w:p>
      <w:pPr>
        <w:keepNext w:val="0"/>
        <w:keepLines w:val="0"/>
        <w:pageBreakBefore w:val="0"/>
        <w:tabs>
          <w:tab w:val="left" w:pos="5688"/>
        </w:tabs>
        <w:kinsoku/>
        <w:overflowPunct/>
        <w:topLinePunct/>
        <w:bidi w:val="0"/>
        <w:spacing w:before="298" w:beforeLines="50" w:after="298" w:afterLines="50" w:line="580" w:lineRule="exact"/>
        <w:jc w:val="center"/>
        <w:outlineLvl w:val="0"/>
        <w:rPr>
          <w:rFonts w:hint="eastAsia" w:ascii="方正仿宋_GBK" w:hAnsi="方正仿宋_GBK" w:eastAsia="方正仿宋_GBK" w:cs="方正仿宋_GBK"/>
          <w:sz w:val="32"/>
          <w:szCs w:val="32"/>
        </w:rPr>
      </w:pPr>
      <w:bookmarkStart w:id="786" w:name="_Toc31313"/>
      <w:bookmarkStart w:id="787" w:name="_Toc6747"/>
      <w:bookmarkStart w:id="788" w:name="_Toc29131"/>
      <w:bookmarkStart w:id="789" w:name="_Toc24216"/>
      <w:bookmarkStart w:id="790" w:name="_Toc13103"/>
      <w:bookmarkStart w:id="791" w:name="_Toc15530"/>
      <w:bookmarkStart w:id="792" w:name="_Toc15687"/>
      <w:bookmarkStart w:id="793" w:name="_Toc30606"/>
      <w:bookmarkStart w:id="794" w:name="_Toc91769304"/>
      <w:bookmarkStart w:id="795" w:name="_Toc26017"/>
      <w:bookmarkStart w:id="796" w:name="_Toc7124"/>
      <w:bookmarkStart w:id="797" w:name="_Toc26931"/>
      <w:bookmarkStart w:id="798" w:name="_Toc12404"/>
      <w:bookmarkStart w:id="799" w:name="_Toc7826"/>
      <w:bookmarkStart w:id="800" w:name="_Toc17537"/>
      <w:bookmarkStart w:id="801" w:name="_Toc14501"/>
      <w:bookmarkStart w:id="802" w:name="_Toc32068"/>
      <w:bookmarkStart w:id="803" w:name="_Toc20127"/>
      <w:bookmarkStart w:id="804" w:name="_Toc17284"/>
      <w:bookmarkStart w:id="805" w:name="_Toc18579"/>
      <w:bookmarkStart w:id="806" w:name="_Toc9069"/>
      <w:bookmarkStart w:id="807" w:name="_Toc11723"/>
      <w:bookmarkStart w:id="808" w:name="_Toc23532"/>
      <w:bookmarkStart w:id="809" w:name="_Toc32095"/>
      <w:bookmarkStart w:id="810" w:name="_Toc8105"/>
      <w:bookmarkStart w:id="811" w:name="_Toc29241"/>
      <w:bookmarkStart w:id="812" w:name="_Toc87346242"/>
      <w:bookmarkStart w:id="813" w:name="_Toc1087"/>
      <w:bookmarkStart w:id="814" w:name="_Toc5400"/>
      <w:bookmarkStart w:id="815" w:name="_Toc22763"/>
      <w:bookmarkStart w:id="816" w:name="_Toc88078919"/>
      <w:bookmarkStart w:id="817" w:name="_Toc30047"/>
      <w:bookmarkStart w:id="818" w:name="_Toc1340"/>
      <w:bookmarkStart w:id="819" w:name="_Toc19098"/>
      <w:bookmarkStart w:id="820" w:name="_Toc12726"/>
      <w:r>
        <w:rPr>
          <w:rFonts w:hint="eastAsia" w:ascii="方正黑体_GBK" w:hAnsi="方正黑体_GBK" w:eastAsia="方正黑体_GBK" w:cs="方正黑体_GBK"/>
          <w:sz w:val="32"/>
          <w:szCs w:val="32"/>
        </w:rPr>
        <w:t>第四章 推进风险防控体系建设</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Pr>
        <w:keepNext w:val="0"/>
        <w:keepLines w:val="0"/>
        <w:pageBreakBefore w:val="0"/>
        <w:kinsoku/>
        <w:overflowPunct/>
        <w:topLinePunct/>
        <w:bidi w:val="0"/>
        <w:spacing w:after="298" w:afterLines="50" w:line="580" w:lineRule="exact"/>
        <w:jc w:val="center"/>
        <w:outlineLvl w:val="1"/>
        <w:rPr>
          <w:rFonts w:hint="eastAsia" w:ascii="方正楷体_GBK" w:hAnsi="方正楷体_GBK" w:eastAsia="方正楷体_GBK" w:cs="方正楷体_GBK"/>
          <w:spacing w:val="8"/>
          <w:sz w:val="32"/>
          <w:szCs w:val="32"/>
        </w:rPr>
      </w:pPr>
      <w:bookmarkStart w:id="821" w:name="_Toc16000"/>
      <w:bookmarkStart w:id="822" w:name="_Toc2368"/>
      <w:bookmarkStart w:id="823" w:name="_Toc14823"/>
      <w:bookmarkStart w:id="824" w:name="_Toc31837"/>
      <w:bookmarkStart w:id="825" w:name="_Toc25658"/>
      <w:bookmarkStart w:id="826" w:name="_Toc19191"/>
      <w:bookmarkStart w:id="827" w:name="_Toc14126"/>
      <w:bookmarkStart w:id="828" w:name="_Toc17838"/>
      <w:bookmarkStart w:id="829" w:name="_Toc88078920"/>
      <w:bookmarkStart w:id="830" w:name="_Toc23453"/>
      <w:bookmarkStart w:id="831" w:name="_Toc328"/>
      <w:bookmarkStart w:id="832" w:name="_Toc9302"/>
      <w:bookmarkStart w:id="833" w:name="_Toc15408"/>
      <w:bookmarkStart w:id="834" w:name="_Toc25728"/>
      <w:bookmarkStart w:id="835" w:name="_Toc29033"/>
      <w:bookmarkStart w:id="836" w:name="_Toc5440"/>
      <w:bookmarkStart w:id="837" w:name="_Toc877"/>
      <w:bookmarkStart w:id="838" w:name="_Toc22967"/>
      <w:bookmarkStart w:id="839" w:name="_Toc28441"/>
      <w:bookmarkStart w:id="840" w:name="_Toc6173"/>
      <w:bookmarkStart w:id="841" w:name="_Toc12121"/>
      <w:bookmarkStart w:id="842" w:name="_Toc91769305"/>
      <w:bookmarkStart w:id="843" w:name="_Toc5259"/>
      <w:bookmarkStart w:id="844" w:name="_Toc19443"/>
      <w:bookmarkStart w:id="845" w:name="_Toc8668"/>
      <w:bookmarkStart w:id="846" w:name="_Toc87346243"/>
      <w:bookmarkStart w:id="847" w:name="_Toc20062"/>
      <w:bookmarkStart w:id="848" w:name="_Toc16080"/>
      <w:bookmarkStart w:id="849" w:name="_Toc18728"/>
      <w:bookmarkStart w:id="850" w:name="_Toc13520"/>
      <w:bookmarkStart w:id="851" w:name="_Toc28215"/>
      <w:bookmarkStart w:id="852" w:name="_Toc1770"/>
      <w:bookmarkStart w:id="853" w:name="_Toc20103"/>
      <w:bookmarkStart w:id="854" w:name="_Toc20111"/>
      <w:bookmarkStart w:id="855" w:name="_Toc17868"/>
      <w:bookmarkStart w:id="856" w:name="_Toc5554"/>
      <w:bookmarkStart w:id="857" w:name="_Toc29023"/>
      <w:bookmarkStart w:id="858" w:name="_Toc6887"/>
      <w:bookmarkStart w:id="859" w:name="_Toc27221"/>
      <w:bookmarkStart w:id="860" w:name="_Toc29396"/>
      <w:bookmarkStart w:id="861" w:name="_Toc21421"/>
      <w:bookmarkStart w:id="862" w:name="_Toc28178"/>
      <w:bookmarkStart w:id="863" w:name="_Toc24267"/>
      <w:bookmarkStart w:id="864" w:name="_Toc18391"/>
      <w:bookmarkStart w:id="865" w:name="_Toc24291"/>
      <w:bookmarkStart w:id="866" w:name="_Toc16455"/>
      <w:bookmarkStart w:id="867" w:name="_Toc24827"/>
      <w:bookmarkStart w:id="868" w:name="_Toc28489"/>
      <w:bookmarkStart w:id="869" w:name="_Toc25735"/>
      <w:bookmarkStart w:id="870" w:name="_Toc4488"/>
      <w:bookmarkStart w:id="871" w:name="_Toc16901"/>
      <w:bookmarkStart w:id="872" w:name="_Toc15907"/>
      <w:bookmarkStart w:id="873" w:name="_Toc2423"/>
      <w:bookmarkStart w:id="874" w:name="_Toc15835"/>
      <w:bookmarkStart w:id="875" w:name="_Toc11081"/>
      <w:r>
        <w:rPr>
          <w:rFonts w:hint="eastAsia" w:ascii="方正楷体_GBK" w:hAnsi="方正楷体_GBK" w:eastAsia="方正楷体_GBK" w:cs="方正楷体_GBK"/>
          <w:spacing w:val="8"/>
          <w:sz w:val="32"/>
          <w:szCs w:val="32"/>
          <w:lang w:eastAsia="zh-CN"/>
        </w:rPr>
        <w:t>第一节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加强风险源头防控</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pPr>
        <w:keepNext w:val="0"/>
        <w:keepLines w:val="0"/>
        <w:pageBreakBefore w:val="0"/>
        <w:kinsoku/>
        <w:overflowPunct/>
        <w:topLinePunct/>
        <w:bidi w:val="0"/>
        <w:adjustRightInd w:val="0"/>
        <w:spacing w:line="580" w:lineRule="exact"/>
        <w:ind w:firstLine="664"/>
        <w:rPr>
          <w:rFonts w:hint="eastAsia" w:ascii="方正仿宋_GBK" w:hAnsi="方正仿宋_GBK" w:eastAsia="方正仿宋_GBK" w:cs="方正仿宋_GBK"/>
          <w:sz w:val="32"/>
          <w:szCs w:val="32"/>
          <w:shd w:val="clear" w:color="auto" w:fill="FFFFFF"/>
        </w:rPr>
      </w:pPr>
      <w:bookmarkStart w:id="876" w:name="_Toc10505"/>
      <w:r>
        <w:rPr>
          <w:rFonts w:hint="eastAsia" w:ascii="方正仿宋_GBK" w:hAnsi="方正仿宋_GBK" w:eastAsia="方正仿宋_GBK" w:cs="方正仿宋_GBK"/>
          <w:spacing w:val="8"/>
          <w:sz w:val="32"/>
          <w:szCs w:val="32"/>
        </w:rPr>
        <w:t>强化风险评估。</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rFonts w:hint="eastAsia" w:ascii="方正仿宋_GBK" w:hAnsi="方正仿宋_GBK" w:eastAsia="方正仿宋_GBK" w:cs="方正仿宋_GBK"/>
          <w:sz w:val="32"/>
          <w:szCs w:val="32"/>
          <w:shd w:val="clear" w:color="auto" w:fill="FFFFFF"/>
        </w:rPr>
        <w:t>加强“自治区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盟市</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旗县（市、区）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苏木乡镇（街道）</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嘎查村（社区）”五级灾害风险管理和隐患排查治理工作。协调组织各级政府、部门做好自然灾害综合风险普查工作，编制自然灾害综合风险区划和防治区划。</w:t>
      </w:r>
    </w:p>
    <w:p>
      <w:pPr>
        <w:keepNext w:val="0"/>
        <w:keepLines w:val="0"/>
        <w:pageBreakBefore w:val="0"/>
        <w:kinsoku/>
        <w:overflowPunct/>
        <w:topLinePunct/>
        <w:bidi w:val="0"/>
        <w:adjustRightInd w:val="0"/>
        <w:spacing w:line="580" w:lineRule="exact"/>
        <w:ind w:firstLine="664"/>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加强规划管控。</w:t>
      </w:r>
      <w:r>
        <w:rPr>
          <w:rFonts w:hint="eastAsia" w:ascii="方正仿宋_GBK" w:hAnsi="方正仿宋_GBK" w:eastAsia="方正仿宋_GBK" w:cs="方正仿宋_GBK"/>
          <w:kern w:val="0"/>
          <w:sz w:val="32"/>
          <w:szCs w:val="32"/>
        </w:rPr>
        <w:t>合理确定国土空间开发强度，加强城市治理中的风险防控，统筹县域城镇和村庄规划建设，严格控制区域风险等级及风险容量，</w:t>
      </w:r>
      <w:r>
        <w:rPr>
          <w:rFonts w:hint="eastAsia" w:ascii="方正仿宋_GBK" w:hAnsi="方正仿宋_GBK" w:eastAsia="方正仿宋_GBK" w:cs="方正仿宋_GBK"/>
          <w:sz w:val="32"/>
          <w:szCs w:val="32"/>
          <w:shd w:val="clear" w:color="auto" w:fill="FFFFFF"/>
        </w:rPr>
        <w:t>完善应急避难场所规划布局，</w:t>
      </w:r>
      <w:r>
        <w:rPr>
          <w:rFonts w:hint="eastAsia" w:ascii="方正仿宋_GBK" w:hAnsi="方正仿宋_GBK" w:eastAsia="方正仿宋_GBK" w:cs="方正仿宋_GBK"/>
          <w:kern w:val="0"/>
          <w:sz w:val="32"/>
          <w:szCs w:val="32"/>
        </w:rPr>
        <w:t>加快形成有效防控重大安全风险的空间格局和生产生活方式布局。</w:t>
      </w:r>
    </w:p>
    <w:p>
      <w:pPr>
        <w:keepNext w:val="0"/>
        <w:keepLines w:val="0"/>
        <w:pageBreakBefore w:val="0"/>
        <w:kinsoku/>
        <w:overflowPunct/>
        <w:topLinePunct/>
        <w:bidi w:val="0"/>
        <w:spacing w:after="298" w:afterLines="50"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严格安全准入。</w:t>
      </w:r>
      <w:r>
        <w:rPr>
          <w:rFonts w:hint="eastAsia" w:ascii="方正仿宋_GBK" w:hAnsi="方正仿宋_GBK" w:eastAsia="方正仿宋_GBK" w:cs="方正仿宋_GBK"/>
          <w:sz w:val="32"/>
          <w:szCs w:val="32"/>
          <w:shd w:val="clear" w:color="auto" w:fill="FFFFFF"/>
        </w:rPr>
        <w:t>实施市场安全准入负面清单制度，加强工业园区等重点区域空间和安全准入管理，健全完善高危行业领域建设项目安全联合审批制度。严格</w:t>
      </w:r>
      <w:r>
        <w:rPr>
          <w:rFonts w:hint="eastAsia" w:ascii="方正仿宋_GBK" w:hAnsi="方正仿宋_GBK" w:eastAsia="方正仿宋_GBK" w:cs="方正仿宋_GBK"/>
          <w:sz w:val="32"/>
          <w:szCs w:val="32"/>
          <w:shd w:val="clear" w:color="auto" w:fill="FFFFFF"/>
          <w:lang w:eastAsia="zh-CN"/>
        </w:rPr>
        <w:t>执行</w:t>
      </w:r>
      <w:r>
        <w:rPr>
          <w:rFonts w:hint="eastAsia" w:ascii="方正仿宋_GBK" w:hAnsi="方正仿宋_GBK" w:eastAsia="方正仿宋_GBK" w:cs="方正仿宋_GBK"/>
          <w:sz w:val="32"/>
          <w:szCs w:val="32"/>
          <w:shd w:val="clear" w:color="auto" w:fill="FFFFFF"/>
        </w:rPr>
        <w:t>建设项目安全条件审查和安全设施“三同时”制度，健全重大项目决策安全风险评估与论证机制。制定完善功能区产业发展规划，制定“禁限控”目录。严防高风险项目转移，严禁承接其他地区淘汰关闭退出的落后产能；建立完善功能区内企业退出机制，及时淘汰退出不符合安全生产要求的企业。</w:t>
      </w:r>
    </w:p>
    <w:p>
      <w:pPr>
        <w:keepNext w:val="0"/>
        <w:keepLines w:val="0"/>
        <w:pageBreakBefore w:val="0"/>
        <w:kinsoku/>
        <w:overflowPunct/>
        <w:topLinePunct/>
        <w:bidi w:val="0"/>
        <w:spacing w:after="298" w:afterLines="50" w:line="580" w:lineRule="exact"/>
        <w:ind w:firstLine="664"/>
        <w:rPr>
          <w:rFonts w:hint="eastAsia" w:ascii="方正仿宋_GBK" w:hAnsi="方正仿宋_GBK" w:eastAsia="方正仿宋_GBK" w:cs="方正仿宋_GBK"/>
          <w:sz w:val="32"/>
          <w:szCs w:val="32"/>
          <w:shd w:val="clear" w:color="auto" w:fill="FFFFFF"/>
        </w:rPr>
      </w:pPr>
    </w:p>
    <w:tbl>
      <w:tblPr>
        <w:tblStyle w:val="14"/>
        <w:tblW w:w="8865"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4472C4"/>
        <w:tblLayout w:type="fixed"/>
        <w:tblCellMar>
          <w:top w:w="0" w:type="dxa"/>
          <w:left w:w="0" w:type="dxa"/>
          <w:bottom w:w="0" w:type="dxa"/>
          <w:right w:w="0"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4472C4"/>
          <w:tblLayout w:type="fixed"/>
          <w:tblCellMar>
            <w:top w:w="0" w:type="dxa"/>
            <w:left w:w="0" w:type="dxa"/>
            <w:bottom w:w="0" w:type="dxa"/>
            <w:right w:w="0" w:type="dxa"/>
          </w:tblCellMar>
        </w:tblPrEx>
        <w:trPr>
          <w:trHeight w:val="454" w:hRule="atLeast"/>
        </w:trPr>
        <w:tc>
          <w:tcPr>
            <w:tcW w:w="8865" w:type="dxa"/>
            <w:shd w:val="clear" w:color="auto" w:fill="FFFFFF"/>
            <w:noWrap/>
            <w:vAlign w:val="center"/>
          </w:tcPr>
          <w:p>
            <w:pPr>
              <w:keepNext w:val="0"/>
              <w:keepLines w:val="0"/>
              <w:pageBreakBefore w:val="0"/>
              <w:widowControl w:val="0"/>
              <w:kinsoku/>
              <w:wordWrap/>
              <w:overflowPunct/>
              <w:topLinePunct/>
              <w:autoSpaceDE/>
              <w:autoSpaceDN/>
              <w:bidi w:val="0"/>
              <w:adjustRightInd w:val="0"/>
              <w:snapToGrid/>
              <w:spacing w:before="178" w:beforeLines="30" w:after="178" w:afterLines="30" w:line="400" w:lineRule="exact"/>
              <w:ind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专栏1 灾害风险调查和重点隐患排查工程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4472C4"/>
          <w:tblLayout w:type="fixed"/>
          <w:tblCellMar>
            <w:top w:w="0" w:type="dxa"/>
            <w:left w:w="0" w:type="dxa"/>
            <w:bottom w:w="0" w:type="dxa"/>
            <w:right w:w="0" w:type="dxa"/>
          </w:tblCellMar>
        </w:tblPrEx>
        <w:trPr>
          <w:trHeight w:val="801" w:hRule="atLeast"/>
        </w:trPr>
        <w:tc>
          <w:tcPr>
            <w:tcW w:w="8865" w:type="dxa"/>
            <w:shd w:val="clear" w:color="auto" w:fill="FFFFFF"/>
            <w:noWrap/>
            <w:vAlign w:val="center"/>
          </w:tcPr>
          <w:p>
            <w:pPr>
              <w:keepNext w:val="0"/>
              <w:keepLines w:val="0"/>
              <w:pageBreakBefore w:val="0"/>
              <w:widowControl w:val="0"/>
              <w:shd w:val="clear" w:color="auto" w:fill="FFFFFF"/>
              <w:kinsoku/>
              <w:wordWrap/>
              <w:overflowPunct/>
              <w:topLinePunct/>
              <w:autoSpaceDE/>
              <w:autoSpaceDN/>
              <w:bidi w:val="0"/>
              <w:adjustRightInd w:val="0"/>
              <w:snapToGrid/>
              <w:spacing w:line="400" w:lineRule="exact"/>
              <w:ind w:left="0" w:leftChars="0" w:firstLine="560" w:firstLineChars="200"/>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组织开展自治区第一次全国自然灾害综合风险普查工作，针对地震灾害、地质灾害、气象灾害、水旱灾害、森林和草原火灾等全区主要自然灾害类型，开展主要自然灾害致灾调查与评估，人口、房屋、基础设施、公共服务系统、三次产业、资源和环境等承灾体调查与评估，历史灾害灾情调查与评估，综合减灾能力调查与评估，重点隐患调查与评估，完成主要灾害风险评估与区划以及灾害综合风险评估与区划，编制灾害综合防治区划图，汇总普查成果，做好数据维护更新工作，加强成果应用。</w:t>
            </w:r>
          </w:p>
        </w:tc>
      </w:tr>
    </w:tbl>
    <w:p>
      <w:pPr>
        <w:keepNext w:val="0"/>
        <w:keepLines w:val="0"/>
        <w:pageBreakBefore w:val="0"/>
        <w:kinsoku/>
        <w:overflowPunct/>
        <w:topLinePunct/>
        <w:bidi w:val="0"/>
        <w:spacing w:before="298" w:beforeLines="50" w:after="298" w:afterLines="50" w:line="580" w:lineRule="exact"/>
        <w:jc w:val="center"/>
        <w:outlineLvl w:val="1"/>
        <w:rPr>
          <w:rFonts w:hint="eastAsia" w:ascii="方正仿宋_GBK" w:hAnsi="方正仿宋_GBK" w:eastAsia="方正仿宋_GBK" w:cs="方正仿宋_GBK"/>
          <w:spacing w:val="8"/>
          <w:sz w:val="32"/>
          <w:szCs w:val="32"/>
        </w:rPr>
      </w:pPr>
      <w:bookmarkStart w:id="877" w:name="_Toc13122"/>
      <w:bookmarkStart w:id="878" w:name="_Toc7621"/>
      <w:bookmarkStart w:id="879" w:name="_Toc28556"/>
      <w:bookmarkStart w:id="880" w:name="_Toc14205"/>
      <w:bookmarkStart w:id="881" w:name="_Toc17182"/>
      <w:bookmarkStart w:id="882" w:name="_Toc18409"/>
      <w:bookmarkStart w:id="883" w:name="_Toc16526"/>
      <w:bookmarkStart w:id="884" w:name="_Toc18035"/>
      <w:bookmarkStart w:id="885" w:name="_Toc12951"/>
      <w:bookmarkStart w:id="886" w:name="_Toc23225"/>
      <w:bookmarkStart w:id="887" w:name="_Toc13643"/>
      <w:bookmarkStart w:id="888" w:name="_Toc14158"/>
      <w:bookmarkStart w:id="889" w:name="_Toc18528"/>
      <w:bookmarkStart w:id="890" w:name="_Toc7923"/>
      <w:bookmarkStart w:id="891" w:name="_Toc5526"/>
      <w:bookmarkStart w:id="892" w:name="_Toc12446"/>
      <w:bookmarkStart w:id="893" w:name="_Toc30928"/>
      <w:bookmarkStart w:id="894" w:name="_Toc24418"/>
      <w:bookmarkStart w:id="895" w:name="_Toc23728"/>
      <w:bookmarkStart w:id="896" w:name="_Toc16921"/>
      <w:bookmarkStart w:id="897" w:name="_Toc19555"/>
      <w:bookmarkStart w:id="898" w:name="_Toc13062"/>
      <w:bookmarkStart w:id="899" w:name="_Toc22836"/>
      <w:bookmarkStart w:id="900" w:name="_Toc172"/>
      <w:bookmarkStart w:id="901" w:name="_Toc1754"/>
      <w:bookmarkStart w:id="902" w:name="_Toc88078921"/>
      <w:bookmarkStart w:id="903" w:name="_Toc3442"/>
      <w:bookmarkStart w:id="904" w:name="_Toc22334"/>
      <w:bookmarkStart w:id="905" w:name="_Toc3649"/>
      <w:bookmarkStart w:id="906" w:name="_Toc91769306"/>
      <w:bookmarkStart w:id="907" w:name="_Toc31155"/>
      <w:bookmarkStart w:id="908" w:name="_Toc3793"/>
      <w:bookmarkStart w:id="909" w:name="_Toc9514"/>
      <w:bookmarkStart w:id="910" w:name="_Toc11679"/>
      <w:bookmarkStart w:id="911" w:name="_Toc4310"/>
      <w:bookmarkStart w:id="912" w:name="_Toc26340"/>
      <w:bookmarkStart w:id="913" w:name="_Toc18943"/>
      <w:bookmarkStart w:id="914" w:name="_Toc14068"/>
      <w:bookmarkStart w:id="915" w:name="_Toc8000"/>
      <w:bookmarkStart w:id="916" w:name="_Toc16582"/>
      <w:bookmarkStart w:id="917" w:name="_Toc17551"/>
      <w:bookmarkStart w:id="918" w:name="_Toc30800"/>
      <w:bookmarkStart w:id="919" w:name="_Toc21237"/>
      <w:bookmarkStart w:id="920" w:name="_Toc16956"/>
      <w:bookmarkStart w:id="921" w:name="_Toc16093"/>
      <w:bookmarkStart w:id="922" w:name="_Toc4166"/>
      <w:bookmarkStart w:id="923" w:name="_Toc5215"/>
      <w:bookmarkStart w:id="924" w:name="_Toc27234"/>
      <w:bookmarkStart w:id="925" w:name="_Toc2775"/>
      <w:bookmarkStart w:id="926" w:name="_Toc204"/>
      <w:bookmarkStart w:id="927" w:name="_Toc25292"/>
      <w:bookmarkStart w:id="928" w:name="_Toc22747"/>
      <w:bookmarkStart w:id="929" w:name="_Toc28206"/>
      <w:bookmarkStart w:id="930" w:name="_Toc21484"/>
      <w:bookmarkStart w:id="931" w:name="_Toc23303"/>
      <w:bookmarkStart w:id="932" w:name="_Toc87346244"/>
      <w:r>
        <w:rPr>
          <w:rFonts w:hint="eastAsia" w:ascii="方正楷体_GBK" w:hAnsi="方正楷体_GBK" w:eastAsia="方正楷体_GBK" w:cs="方正楷体_GBK"/>
          <w:spacing w:val="8"/>
          <w:sz w:val="32"/>
          <w:szCs w:val="32"/>
          <w:lang w:eastAsia="zh-CN"/>
        </w:rPr>
        <w:t>第二节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提升监测预报预警能力</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pPr>
        <w:keepNext w:val="0"/>
        <w:keepLines w:val="0"/>
        <w:pageBreakBefore w:val="0"/>
        <w:kinsoku/>
        <w:overflowPunct/>
        <w:topLinePunct/>
        <w:bidi w:val="0"/>
        <w:adjustRightInd w:val="0"/>
        <w:spacing w:after="298" w:afterLines="50" w:line="580" w:lineRule="exact"/>
        <w:ind w:firstLine="632"/>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完善自然灾害综合监测预警系统，提升多灾种和灾害链的综合监测、风险早期识别和预报预警研判能力，强化预警信息发布能力。加快推进各行业领域安全生产风险监测预警系统建设，构建重大安全风险防控的全生命周期管理模式。升级覆盖危险化学品、矿山、烟花爆竹、</w:t>
      </w:r>
      <w:r>
        <w:rPr>
          <w:rFonts w:hint="eastAsia" w:ascii="方正仿宋_GBK" w:hAnsi="方正仿宋_GBK" w:eastAsia="方正仿宋_GBK" w:cs="方正仿宋_GBK"/>
          <w:sz w:val="32"/>
          <w:szCs w:val="32"/>
        </w:rPr>
        <w:t>金属冶炼</w:t>
      </w:r>
      <w:r>
        <w:rPr>
          <w:rFonts w:hint="eastAsia" w:ascii="方正仿宋_GBK" w:hAnsi="方正仿宋_GBK" w:eastAsia="方正仿宋_GBK" w:cs="方正仿宋_GBK"/>
          <w:sz w:val="32"/>
          <w:szCs w:val="32"/>
          <w:shd w:val="clear" w:color="auto" w:fill="FFFFFF"/>
        </w:rPr>
        <w:t>、油气管道等重点行业领域监测预警网络。</w:t>
      </w:r>
      <w:r>
        <w:rPr>
          <w:rFonts w:hint="eastAsia" w:ascii="方正仿宋_GBK" w:hAnsi="方正仿宋_GBK" w:eastAsia="方正仿宋_GBK" w:cs="方正仿宋_GBK"/>
          <w:kern w:val="0"/>
          <w:sz w:val="32"/>
          <w:szCs w:val="32"/>
        </w:rPr>
        <w:t>实施城市生命线工程，加强</w:t>
      </w:r>
      <w:r>
        <w:rPr>
          <w:rFonts w:hint="eastAsia" w:ascii="方正仿宋_GBK" w:hAnsi="方正仿宋_GBK" w:eastAsia="方正仿宋_GBK" w:cs="方正仿宋_GBK"/>
          <w:kern w:val="0"/>
          <w:sz w:val="32"/>
          <w:szCs w:val="32"/>
          <w:lang w:eastAsia="zh-CN"/>
        </w:rPr>
        <w:t>对</w:t>
      </w:r>
      <w:r>
        <w:rPr>
          <w:rFonts w:hint="eastAsia" w:ascii="方正仿宋_GBK" w:hAnsi="方正仿宋_GBK" w:eastAsia="方正仿宋_GBK" w:cs="方正仿宋_GBK"/>
          <w:kern w:val="0"/>
          <w:sz w:val="32"/>
          <w:szCs w:val="32"/>
        </w:rPr>
        <w:t>城市桥梁、主干管线等重要基础设施的实时监测预警，加快完善城乡公共安全风险监测预警信息平台。</w:t>
      </w:r>
      <w:r>
        <w:rPr>
          <w:rFonts w:hint="eastAsia" w:ascii="方正仿宋_GBK" w:hAnsi="方正仿宋_GBK" w:eastAsia="方正仿宋_GBK" w:cs="方正仿宋_GBK"/>
          <w:sz w:val="32"/>
          <w:szCs w:val="32"/>
          <w:shd w:val="clear" w:color="auto" w:fill="FFFFFF"/>
        </w:rPr>
        <w:t>建立重大活动风险报告制度和重大灾害性天气停工停课停业制度，明确风险等级和安全措施要求。</w:t>
      </w:r>
    </w:p>
    <w:tbl>
      <w:tblPr>
        <w:tblStyle w:val="14"/>
        <w:tblW w:w="8982" w:type="dxa"/>
        <w:tblInd w:w="0" w:type="dxa"/>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0" w:type="dxa"/>
          <w:bottom w:w="0" w:type="dxa"/>
          <w:right w:w="0" w:type="dxa"/>
        </w:tblCellMar>
      </w:tblPr>
      <w:tblGrid>
        <w:gridCol w:w="8982"/>
      </w:tblGrid>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0" w:type="dxa"/>
            <w:bottom w:w="0" w:type="dxa"/>
            <w:right w:w="0" w:type="dxa"/>
          </w:tblCellMar>
        </w:tblPrEx>
        <w:trPr>
          <w:trHeight w:val="454" w:hRule="atLeast"/>
        </w:trPr>
        <w:tc>
          <w:tcPr>
            <w:tcW w:w="8982" w:type="dxa"/>
            <w:noWrap/>
            <w:vAlign w:val="center"/>
          </w:tcPr>
          <w:p>
            <w:pPr>
              <w:keepNext w:val="0"/>
              <w:keepLines w:val="0"/>
              <w:pageBreakBefore w:val="0"/>
              <w:widowControl w:val="0"/>
              <w:kinsoku/>
              <w:wordWrap/>
              <w:overflowPunct/>
              <w:topLinePunct/>
              <w:autoSpaceDE/>
              <w:autoSpaceDN/>
              <w:bidi w:val="0"/>
              <w:adjustRightInd w:val="0"/>
              <w:snapToGrid/>
              <w:spacing w:before="178" w:beforeLines="30" w:after="178" w:afterLines="30" w:line="400" w:lineRule="exact"/>
              <w:ind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专栏2 风险监测预警建设工程</w:t>
            </w: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0" w:type="dxa"/>
            <w:bottom w:w="0" w:type="dxa"/>
            <w:right w:w="0" w:type="dxa"/>
          </w:tblCellMar>
        </w:tblPrEx>
        <w:trPr>
          <w:trHeight w:val="801" w:hRule="atLeast"/>
        </w:trPr>
        <w:tc>
          <w:tcPr>
            <w:tcW w:w="8982" w:type="dxa"/>
            <w:noWrap/>
            <w:vAlign w:val="center"/>
          </w:tcPr>
          <w:p>
            <w:pPr>
              <w:keepNext w:val="0"/>
              <w:keepLines w:val="0"/>
              <w:pageBreakBefore w:val="0"/>
              <w:widowControl w:val="0"/>
              <w:shd w:val="clear" w:color="auto" w:fill="FFFFFF"/>
              <w:kinsoku/>
              <w:wordWrap/>
              <w:overflowPunct/>
              <w:topLinePunct/>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pacing w:val="8"/>
                <w:sz w:val="28"/>
                <w:szCs w:val="28"/>
              </w:rPr>
              <w:t>自然灾害综合监测预警系统</w:t>
            </w:r>
            <w:r>
              <w:rPr>
                <w:rFonts w:hint="eastAsia" w:ascii="方正仿宋_GBK" w:hAnsi="方正仿宋_GBK" w:eastAsia="方正仿宋_GBK" w:cs="方正仿宋_GBK"/>
                <w:spacing w:val="8"/>
                <w:sz w:val="28"/>
                <w:szCs w:val="28"/>
                <w:lang w:eastAsia="zh-CN"/>
              </w:rPr>
              <w:t>。</w:t>
            </w:r>
            <w:r>
              <w:rPr>
                <w:rFonts w:hint="eastAsia" w:ascii="方正仿宋_GBK" w:hAnsi="方正仿宋_GBK" w:eastAsia="方正仿宋_GBK" w:cs="方正仿宋_GBK"/>
                <w:sz w:val="28"/>
                <w:szCs w:val="28"/>
              </w:rPr>
              <w:t>加快推进自然灾害风险监测预警感知网络建设，以地震、地质灾害、气象灾害、水旱灾害、森林草原火灾等自然灾害监测监控数据为基础，利用基础应用支撑、数据支撑、模型算法等支撑能力，建设自治区自然灾害综合监测预警系统，建立自然灾害风险模拟推演系统，健全自然灾害预警预报系统，完善突发事件预警信息发布系统。</w:t>
            </w:r>
          </w:p>
          <w:p>
            <w:pPr>
              <w:keepNext w:val="0"/>
              <w:keepLines w:val="0"/>
              <w:pageBreakBefore w:val="0"/>
              <w:widowControl w:val="0"/>
              <w:shd w:val="clear" w:color="auto" w:fill="FFFFFF"/>
              <w:kinsoku/>
              <w:wordWrap/>
              <w:overflowPunct/>
              <w:topLinePunct/>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pacing w:val="6"/>
                <w:sz w:val="28"/>
                <w:szCs w:val="28"/>
              </w:rPr>
              <w:t>安全生产风险监测预警系统</w:t>
            </w:r>
            <w:r>
              <w:rPr>
                <w:rFonts w:hint="eastAsia" w:ascii="方正仿宋_GBK" w:hAnsi="方正仿宋_GBK" w:eastAsia="方正仿宋_GBK" w:cs="方正仿宋_GBK"/>
                <w:spacing w:val="6"/>
                <w:sz w:val="28"/>
                <w:szCs w:val="28"/>
                <w:lang w:eastAsia="zh-CN"/>
              </w:rPr>
              <w:t>。</w:t>
            </w:r>
            <w:r>
              <w:rPr>
                <w:rFonts w:hint="eastAsia" w:ascii="方正仿宋_GBK" w:hAnsi="方正仿宋_GBK" w:eastAsia="方正仿宋_GBK" w:cs="方正仿宋_GBK"/>
                <w:spacing w:val="6"/>
                <w:sz w:val="28"/>
                <w:szCs w:val="28"/>
              </w:rPr>
              <w:t>建设危险化学品、矿山、烟花爆竹、金属冶炼等高危行业企业以及油气存储企业、油气管道等重点领域安全生产风险监测预警系统，以感知数据为支撑，构建风险监测指标体系和监测预警模型，利用大数据、人工智能等技术手段，实现对高危行业企业安全生产风险的监测、评估、预警和趋势分析，强化安全生产风险的分类分级管控。</w:t>
            </w:r>
          </w:p>
          <w:p>
            <w:pPr>
              <w:keepNext w:val="0"/>
              <w:keepLines w:val="0"/>
              <w:pageBreakBefore w:val="0"/>
              <w:widowControl w:val="0"/>
              <w:shd w:val="clear" w:color="auto" w:fill="FFFFFF"/>
              <w:kinsoku/>
              <w:wordWrap/>
              <w:overflowPunct/>
              <w:topLinePunct/>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3.城市生命线及公共安全风险监测预警信息平台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汇聚燃气、供水、排水、热力、桥梁、综合管廊等城市生命线工程以及消防、交通、特种设备、人员密集场所安全等城市风险感知数据，实现对城市生命线工程，以及重点消防单位、城市轨道交通、城市电梯运行、公共空间和重大活动保障等城市安全运行状况的综合监测预警。</w:t>
            </w:r>
          </w:p>
        </w:tc>
      </w:tr>
    </w:tbl>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933" w:name="_Toc3033"/>
      <w:bookmarkStart w:id="934" w:name="_Toc25376"/>
      <w:bookmarkStart w:id="935" w:name="_Toc22963"/>
      <w:bookmarkStart w:id="936" w:name="_Toc17109"/>
      <w:bookmarkStart w:id="937" w:name="_Toc6861"/>
      <w:bookmarkStart w:id="938" w:name="_Toc27198"/>
      <w:bookmarkStart w:id="939" w:name="_Toc25949"/>
      <w:bookmarkStart w:id="940" w:name="_Toc28543"/>
      <w:bookmarkStart w:id="941" w:name="_Toc2061"/>
      <w:bookmarkStart w:id="942" w:name="_Toc6126"/>
      <w:bookmarkStart w:id="943" w:name="_Toc18660"/>
      <w:bookmarkStart w:id="944" w:name="_Toc28573"/>
      <w:bookmarkStart w:id="945" w:name="_Toc23249"/>
      <w:bookmarkStart w:id="946" w:name="_Toc23313"/>
      <w:bookmarkStart w:id="947" w:name="_Toc28941"/>
      <w:bookmarkStart w:id="948" w:name="_Toc10582"/>
      <w:bookmarkStart w:id="949" w:name="_Toc15131"/>
      <w:bookmarkStart w:id="950" w:name="_Toc19505"/>
      <w:bookmarkStart w:id="951" w:name="_Toc16280"/>
      <w:bookmarkStart w:id="952" w:name="_Toc1961"/>
      <w:bookmarkStart w:id="953" w:name="_Toc32015"/>
      <w:bookmarkStart w:id="954" w:name="_Toc14945"/>
      <w:bookmarkStart w:id="955" w:name="_Toc6463"/>
      <w:bookmarkStart w:id="956" w:name="_Toc17662"/>
      <w:bookmarkStart w:id="957" w:name="_Toc31353"/>
      <w:bookmarkStart w:id="958" w:name="_Toc1091"/>
      <w:bookmarkStart w:id="959" w:name="_Toc22115"/>
      <w:bookmarkStart w:id="960" w:name="_Toc25246"/>
      <w:bookmarkStart w:id="961" w:name="_Toc17529"/>
      <w:bookmarkStart w:id="962" w:name="_Toc16115"/>
      <w:bookmarkStart w:id="963" w:name="_Toc3980"/>
      <w:bookmarkStart w:id="964" w:name="_Toc16595"/>
      <w:bookmarkStart w:id="965" w:name="_Toc88078922"/>
      <w:bookmarkStart w:id="966" w:name="_Toc3529"/>
      <w:bookmarkStart w:id="967" w:name="_Toc21675"/>
      <w:bookmarkStart w:id="968" w:name="_Toc21562"/>
      <w:bookmarkStart w:id="969" w:name="_Toc20464"/>
      <w:bookmarkStart w:id="970" w:name="_Toc87346245"/>
      <w:bookmarkStart w:id="971" w:name="_Toc31044"/>
      <w:bookmarkStart w:id="972" w:name="_Toc9122"/>
      <w:bookmarkStart w:id="973" w:name="_Toc23324"/>
      <w:bookmarkStart w:id="974" w:name="_Toc26006"/>
      <w:bookmarkStart w:id="975" w:name="_Toc31358"/>
      <w:bookmarkStart w:id="976" w:name="_Toc15385"/>
      <w:bookmarkStart w:id="977" w:name="_Toc13546"/>
      <w:bookmarkStart w:id="978" w:name="_Toc19269"/>
      <w:bookmarkStart w:id="979" w:name="_Toc91769307"/>
      <w:bookmarkStart w:id="980" w:name="_Toc23618"/>
      <w:bookmarkStart w:id="981" w:name="_Toc23273"/>
      <w:bookmarkStart w:id="982" w:name="_Toc3459"/>
      <w:bookmarkStart w:id="983" w:name="_Toc2673"/>
      <w:bookmarkStart w:id="984" w:name="_Toc7267"/>
      <w:bookmarkStart w:id="985" w:name="_Toc12461"/>
      <w:bookmarkStart w:id="986" w:name="_Toc9673"/>
      <w:bookmarkStart w:id="987" w:name="_Toc19677"/>
      <w:bookmarkStart w:id="988" w:name="_Toc27971"/>
      <w:r>
        <w:rPr>
          <w:rFonts w:hint="eastAsia" w:ascii="方正楷体_GBK" w:hAnsi="方正楷体_GBK" w:eastAsia="方正楷体_GBK" w:cs="方正楷体_GBK"/>
          <w:spacing w:val="8"/>
          <w:sz w:val="32"/>
          <w:szCs w:val="32"/>
          <w:lang w:eastAsia="zh-CN"/>
        </w:rPr>
        <w:t>第三节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加大重大安全风险管控</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pPr>
        <w:keepNext w:val="0"/>
        <w:keepLines w:val="0"/>
        <w:pageBreakBefore w:val="0"/>
        <w:shd w:val="clear" w:color="auto" w:fill="FFFFFF"/>
        <w:kinsoku/>
        <w:overflowPunct/>
        <w:topLinePunct/>
        <w:bidi w:val="0"/>
        <w:adjustRightInd w:val="0"/>
        <w:spacing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健全安全风险分级管控和隐患排查治理双重预防机制。</w:t>
      </w:r>
      <w:r>
        <w:rPr>
          <w:rFonts w:hint="eastAsia" w:ascii="方正仿宋_GBK" w:hAnsi="方正仿宋_GBK" w:eastAsia="方正仿宋_GBK" w:cs="方正仿宋_GBK"/>
          <w:sz w:val="32"/>
          <w:szCs w:val="32"/>
        </w:rPr>
        <w:t>进一步完善安全风险辨识和事故隐患判定标准，实施安全风险差异化动态管理，推动构建以企业为主体的“全员、全过程、全方位”安全风险隐患排查治理机制，严格实行事故隐患治理自查自改自报闭环管理。推进企业利用新一代信息技术，建设完善企业安全生产管理信息系统，实现企业安全管理全过程信息化。</w:t>
      </w:r>
    </w:p>
    <w:p>
      <w:pPr>
        <w:keepNext w:val="0"/>
        <w:keepLines w:val="0"/>
        <w:pageBreakBefore w:val="0"/>
        <w:shd w:val="clear" w:color="auto" w:fill="FFFFFF"/>
        <w:kinsoku/>
        <w:overflowPunct/>
        <w:topLinePunct/>
        <w:bidi w:val="0"/>
        <w:adjustRightInd w:val="0"/>
        <w:spacing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加强高危行业安全风险防控。</w:t>
      </w:r>
      <w:r>
        <w:rPr>
          <w:rFonts w:hint="eastAsia" w:ascii="方正仿宋_GBK" w:hAnsi="方正仿宋_GBK" w:eastAsia="方正仿宋_GBK" w:cs="方正仿宋_GBK"/>
          <w:sz w:val="32"/>
          <w:szCs w:val="32"/>
        </w:rPr>
        <w:t>开展危险化学品本质安全提升行动，实施危险化学品企业安全评估常态化工作机制，突出重点区域、重点行业、重大危险源、重点高危工艺和高危化学品企业风险管控，严格落实企业主要负责人风险研判承诺制度，压实企业主体责任。开展化工园区认定评估，降低园区整体安全风险。</w:t>
      </w:r>
      <w:r>
        <w:rPr>
          <w:rFonts w:hint="eastAsia" w:ascii="方正仿宋_GBK" w:hAnsi="方正仿宋_GBK" w:eastAsia="方正仿宋_GBK" w:cs="方正仿宋_GBK"/>
          <w:sz w:val="32"/>
          <w:szCs w:val="32"/>
          <w:shd w:val="clear" w:color="auto" w:fill="FFFFFF"/>
        </w:rPr>
        <w:t>强制淘汰采用干式制动的无轨胶轮车或者改装车辆运输人员、炸药、油料等落后工艺设备，金属非金属矿山第一批和第二批禁止使用的设备及工艺目录全部落实到位。加大灾害严重、“僵尸企业”等不具备安全生产条件生产经营单位</w:t>
      </w:r>
      <w:r>
        <w:rPr>
          <w:rFonts w:hint="eastAsia" w:ascii="方正仿宋_GBK" w:hAnsi="方正仿宋_GBK" w:eastAsia="方正仿宋_GBK" w:cs="方正仿宋_GBK"/>
          <w:sz w:val="32"/>
          <w:szCs w:val="32"/>
          <w:shd w:val="clear" w:color="auto" w:fill="FFFFFF"/>
          <w:lang w:eastAsia="zh-CN"/>
        </w:rPr>
        <w:t>的</w:t>
      </w:r>
      <w:r>
        <w:rPr>
          <w:rFonts w:hint="eastAsia" w:ascii="方正仿宋_GBK" w:hAnsi="方正仿宋_GBK" w:eastAsia="方正仿宋_GBK" w:cs="方正仿宋_GBK"/>
          <w:sz w:val="32"/>
          <w:szCs w:val="32"/>
          <w:shd w:val="clear" w:color="auto" w:fill="FFFFFF"/>
        </w:rPr>
        <w:t>关闭退出力度。实施安全风险综合防范示范工程，有序推进智能化试点示范，开展智能化作业和危险岗位的机器人替代，在关键风险位置实施“机械化换人、自动化减人”。</w:t>
      </w:r>
    </w:p>
    <w:p>
      <w:pPr>
        <w:keepNext w:val="0"/>
        <w:keepLines w:val="0"/>
        <w:pageBreakBefore w:val="0"/>
        <w:shd w:val="clear" w:color="auto" w:fill="FFFFFF"/>
        <w:kinsoku/>
        <w:overflowPunct/>
        <w:topLinePunct/>
        <w:bidi w:val="0"/>
        <w:adjustRightInd w:val="0"/>
        <w:spacing w:after="298" w:afterLines="50"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深化安全生产专项整治。</w:t>
      </w:r>
      <w:r>
        <w:rPr>
          <w:rFonts w:hint="eastAsia" w:ascii="方正仿宋_GBK" w:hAnsi="方正仿宋_GBK" w:eastAsia="方正仿宋_GBK" w:cs="方正仿宋_GBK"/>
          <w:sz w:val="32"/>
          <w:szCs w:val="32"/>
        </w:rPr>
        <w:t>各级负有安全监管职责部门和行业管理部门紧盯事故易发多发的重点区域、行业领域，查大风险、除大隐患、防大事故，持续深化危险化学品、煤矿、非煤矿山、金属冶炼、消防、道路运输、交通运输和渔业船舶、建筑施工和城镇燃气、特种设备等行业领域专项整治。</w:t>
      </w:r>
    </w:p>
    <w:tbl>
      <w:tblPr>
        <w:tblStyle w:val="14"/>
        <w:tblW w:w="8865"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454" w:hRule="atLeast"/>
        </w:trPr>
        <w:tc>
          <w:tcPr>
            <w:tcW w:w="8865" w:type="dxa"/>
            <w:noWrap/>
            <w:vAlign w:val="center"/>
          </w:tcPr>
          <w:p>
            <w:pPr>
              <w:keepNext w:val="0"/>
              <w:keepLines w:val="0"/>
              <w:pageBreakBefore w:val="0"/>
              <w:widowControl w:val="0"/>
              <w:kinsoku/>
              <w:wordWrap/>
              <w:overflowPunct/>
              <w:topLinePunct/>
              <w:autoSpaceDE/>
              <w:autoSpaceDN/>
              <w:bidi w:val="0"/>
              <w:adjustRightInd w:val="0"/>
              <w:snapToGrid/>
              <w:spacing w:before="178" w:beforeLines="30" w:after="178" w:afterLines="30" w:line="400" w:lineRule="exact"/>
              <w:ind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专栏3</w:t>
            </w:r>
            <w:bookmarkStart w:id="989" w:name="_Hlk88505621"/>
            <w:r>
              <w:rPr>
                <w:rFonts w:hint="eastAsia" w:ascii="方正黑体_GBK" w:hAnsi="方正黑体_GBK" w:eastAsia="方正黑体_GBK" w:cs="方正黑体_GBK"/>
                <w:sz w:val="30"/>
                <w:szCs w:val="30"/>
              </w:rPr>
              <w:t xml:space="preserve"> 重点领域专项整治内容</w:t>
            </w:r>
            <w:bookmarkEnd w:id="98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1120" w:hRule="atLeast"/>
        </w:trPr>
        <w:tc>
          <w:tcPr>
            <w:tcW w:w="8865" w:type="dxa"/>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bookmarkStart w:id="990" w:name="_Hlk88505707"/>
            <w:r>
              <w:rPr>
                <w:rFonts w:hint="eastAsia" w:ascii="方正仿宋_GBK" w:hAnsi="方正仿宋_GBK" w:eastAsia="方正仿宋_GBK" w:cs="方正仿宋_GBK"/>
                <w:sz w:val="28"/>
                <w:szCs w:val="28"/>
              </w:rPr>
              <w:t>危险化学品</w:t>
            </w:r>
            <w:bookmarkEnd w:id="990"/>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全面推动“危险化学品评估+执法”模式，深入排查安全生产隐患，加大执法力度，抓好“一企一策”提升整改措施落实。实施危险化学品企业安全改造，对企业内部不满足安全要求的平面布局实施改造，深入开展精细化工“四个清零”专项整治，对异地转入企业组织开展设计复核，对服役满十年的在役装置组织开展设计诊断，提升设备运行可靠性和安全性。开展“工业互联网+危险化学品安全生产”工程，强化科技支撑。开展企业安全管理技术专业团队和重点岗位操作人员安全技能提升行动，加强监管能力建设，建立常态化培训机制。</w:t>
            </w:r>
          </w:p>
          <w:p>
            <w:pPr>
              <w:keepNext w:val="0"/>
              <w:keepLines w:val="0"/>
              <w:pageBreakBefore w:val="0"/>
              <w:widowControl w:val="0"/>
              <w:shd w:val="clear" w:color="auto" w:fill="FFFFFF"/>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2.煤矿</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积极推进“一优三减”，加快推进机械化、自动化、信息化、智能化建设，灾害严重矿井采掘工作面基本实现智能化，重点推进大型煤矿智能化建设，建设一批智能化示范煤矿。持续推进落后产能淘汰退出，严控新改扩建煤矿规模，规范采矿秩序。实施冲击地压、煤与瓦斯突出和水害等煤矿重大灾害超前精准治理。</w:t>
            </w:r>
          </w:p>
          <w:p>
            <w:pPr>
              <w:keepNext w:val="0"/>
              <w:keepLines w:val="0"/>
              <w:pageBreakBefore w:val="0"/>
              <w:widowControl w:val="0"/>
              <w:shd w:val="clear" w:color="auto" w:fill="FFFFFF"/>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3.非煤矿山</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依法整顿关闭不符合安全生产条件的非煤矿山，对达到设计最终标高、不再进行排尾作业、停用时间超过3年或没有生产经营主体的尾矿库进行闭库治理并销号。推动整合重组矿山企业，对一个矿体有多个开采主体、开采范围及规模较小、相邻矿权开采相互影响的矿山原则上进行整合重组。对入井人数超过30人或井深超过800米的地下矿山、边坡高度超过200米的露天矿山、尾矿库“头顶库”开展专家会诊或安全评估。</w:t>
            </w:r>
          </w:p>
          <w:p>
            <w:pPr>
              <w:keepNext w:val="0"/>
              <w:keepLines w:val="0"/>
              <w:pageBreakBefore w:val="0"/>
              <w:widowControl w:val="0"/>
              <w:shd w:val="clear" w:color="auto" w:fill="FFFFFF"/>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4.金属冶炼</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严格项目建设源头把控，新、改、扩建的金属冶炼项目禁止使用淘汰落后工艺、设备及安全技术装备。加强金属冶炼安全设施“三同时”监督管理，严把安全设施设计审查关。开展钢铁企业专项整治，对生产过程中的煤气、高温熔融金属吊运等重点风险开展全面排查整治；开展铝加工（深井铸造）企业专项整治，全面清除铝加工行业的重点隐患；开展铁合金行业综合治理，重点关注矿热炉升级改造项目，侧重冶金煤气等重点部位，提升铁合金行业安全管理水平。全面强化金属冶炼行业涉及危险化学品的监管，督促企业建立完善有限空间、动火、能源介质停送等较大危险作业和检修、维修作业审批制度。</w:t>
            </w:r>
          </w:p>
          <w:p>
            <w:pPr>
              <w:keepNext w:val="0"/>
              <w:keepLines w:val="0"/>
              <w:pageBreakBefore w:val="0"/>
              <w:widowControl w:val="0"/>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5.消防</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实施打通消防“生命通道”工程，推进重点行业部门开展消防安全标准化管理，强化高层建筑和大型商业综合体消防安全综合治理，推进石油（煤）化工企业和地下轨道交通应急救援能力提升，加强农村牧区基层消防安全综合治理能力。聚焦老旧小区、电动车、外墙保温材料、彩钢板建筑、家庭生产加工作坊、“三合一”场所、城乡结合部、物流仓储等突出风险，全面落实差异化风险管控措施。</w:t>
            </w:r>
          </w:p>
          <w:p>
            <w:pPr>
              <w:keepNext w:val="0"/>
              <w:keepLines w:val="0"/>
              <w:pageBreakBefore w:val="0"/>
              <w:widowControl w:val="0"/>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6.道路运输</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完善道路安全防护保障，强化道路应急保障。开展智慧公路建设，深化农村牧区公路平交路口“千灯万带”示范工程。加强客货车辆安全源头整治，加快淘汰隐患问题车辆。加强危险货物道路运输安全管理，重点整治常压液体危险货物不合规罐车、非法夹带运输等违法违规行为。净化道路运输秩序，严查突出交通违法，落实动态监管责任，严厉打击非法营运行为。</w:t>
            </w:r>
          </w:p>
          <w:p>
            <w:pPr>
              <w:keepNext w:val="0"/>
              <w:keepLines w:val="0"/>
              <w:pageBreakBefore w:val="0"/>
              <w:widowControl w:val="0"/>
              <w:shd w:val="clear" w:color="auto" w:fill="FFFFFF"/>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7.交通运输（民航、铁路、邮政快递、水上交通、轨道交通）和渔业船舶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加强机场安全整治，集中开展机场净空保护、鸟击防范、机场外来物、机坪运行秩序等安全专项整治，加强无人机管控。加强铁路行车安全、铁路防洪安全、施工和建设安全、铁路环境安全、危险货物铁路运输安全专项整治。加强寄递渠道安全和邮政快递企业生产安全整治，深化寄递安全综合治理。加强重点船舶监管，强化重点水域船舶航行安全，严厉打击水路运输经营资质挂靠等违规行为。加强轨道交通运行安全管理，提升设施设备运行可靠性，开展城市轨道交通保护区环境专项整治行动。加强渔船安全、消防、救生等设施设备升级改造，清理涉渔“三无”船舶，实现渔业船舶规范有序管理。</w:t>
            </w:r>
          </w:p>
          <w:p>
            <w:pPr>
              <w:keepNext w:val="0"/>
              <w:keepLines w:val="0"/>
              <w:pageBreakBefore w:val="0"/>
              <w:widowControl w:val="0"/>
              <w:shd w:val="clear" w:color="auto" w:fill="FFFFFF"/>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8.建筑施工和城镇燃气</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完善监管制度规程，推行差异化监管，加大对重点企业、重点项目的检查频次。推进城市危房整治、棚户区改造和老旧小区改造，加强农村牧区危房改造、地震高烈度设防地区农房抗震改造、房屋安全隐患排查整治和施工安全管理。强化老旧基础设施管理，逐步对超过设计使用年限、材质落后的老旧基础设施进行更新改造。开展危险较大工程专项整治，加大危大工程管控力度。推进建筑施工企业和施工现场安全生产标准化建设，持续完善安全监管信息系统。推动智慧工地建设，实施建设施工全生命周期管理。加强对城镇燃气企业的监督检查，持续实施老旧燃气管网和设施更新改造，强化城镇燃气管道安全管理。</w:t>
            </w:r>
          </w:p>
          <w:p>
            <w:pPr>
              <w:keepNext w:val="0"/>
              <w:keepLines w:val="0"/>
              <w:pageBreakBefore w:val="0"/>
              <w:widowControl w:val="0"/>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9.特种设备</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健全特种设备安全监督管理网格化体系，建立健全特种设备信息化监督管理系统，实施特种设备使用单位分类分级监督管理，实时监控重点作业场所、重要生产环节和重点危险源的特种设备运行情况。深入开展涉危险化学品企业的锅炉、压力容器和压力管道等特种设备排查整治，加强对油气输送管道安装和使用过程中法定检验的监督抽查。严厉打击查处无证制造、无证安装、无证使用特种设备等违法行为。</w:t>
            </w:r>
          </w:p>
        </w:tc>
      </w:tr>
    </w:tbl>
    <w:p>
      <w:pPr>
        <w:keepNext w:val="0"/>
        <w:keepLines w:val="0"/>
        <w:pageBreakBefore w:val="0"/>
        <w:kinsoku/>
        <w:overflowPunct/>
        <w:topLinePunct/>
        <w:bidi w:val="0"/>
        <w:adjustRightInd w:val="0"/>
        <w:spacing w:before="298" w:beforeLines="50" w:line="580" w:lineRule="exact"/>
        <w:ind w:firstLine="664"/>
        <w:rPr>
          <w:rFonts w:hint="eastAsia" w:ascii="方正仿宋_GBK" w:hAnsi="方正仿宋_GBK" w:eastAsia="方正仿宋_GBK" w:cs="方正仿宋_GBK"/>
          <w:spacing w:val="8"/>
          <w:sz w:val="32"/>
          <w:szCs w:val="32"/>
        </w:rPr>
      </w:pPr>
      <w:bookmarkStart w:id="991" w:name="_Toc2995"/>
      <w:bookmarkStart w:id="992" w:name="_Toc10243"/>
      <w:bookmarkStart w:id="993" w:name="_Toc12838"/>
      <w:bookmarkStart w:id="994" w:name="_Toc7774"/>
      <w:bookmarkStart w:id="995" w:name="_Toc21953"/>
      <w:bookmarkStart w:id="996" w:name="_Toc15860"/>
      <w:bookmarkStart w:id="997" w:name="_Toc21820"/>
      <w:bookmarkStart w:id="998" w:name="_Toc30581"/>
      <w:bookmarkStart w:id="999" w:name="_Toc14767"/>
      <w:bookmarkStart w:id="1000" w:name="_Toc27757"/>
      <w:bookmarkStart w:id="1001" w:name="_Toc28517"/>
      <w:bookmarkStart w:id="1002" w:name="_Toc10127"/>
      <w:bookmarkStart w:id="1003" w:name="_Toc9652"/>
      <w:bookmarkStart w:id="1004" w:name="_Toc810"/>
      <w:bookmarkStart w:id="1005" w:name="_Toc29182"/>
      <w:bookmarkStart w:id="1006" w:name="_Toc23521"/>
      <w:bookmarkStart w:id="1007" w:name="_Toc31532"/>
      <w:bookmarkStart w:id="1008" w:name="_Toc13886"/>
      <w:bookmarkStart w:id="1009" w:name="_Toc31826"/>
      <w:bookmarkStart w:id="1010" w:name="_Toc1917"/>
      <w:bookmarkStart w:id="1011" w:name="_Toc26838"/>
      <w:bookmarkStart w:id="1012" w:name="_Toc28942"/>
      <w:bookmarkStart w:id="1013" w:name="_Toc13526"/>
      <w:bookmarkStart w:id="1014" w:name="_Toc27823"/>
      <w:bookmarkStart w:id="1015" w:name="_Toc26071"/>
      <w:bookmarkStart w:id="1016" w:name="_Toc1073"/>
      <w:r>
        <w:rPr>
          <w:rFonts w:hint="eastAsia" w:ascii="方正仿宋_GBK" w:hAnsi="方正仿宋_GBK" w:eastAsia="方正仿宋_GBK" w:cs="方正仿宋_GBK"/>
          <w:spacing w:val="8"/>
          <w:sz w:val="32"/>
          <w:szCs w:val="32"/>
        </w:rPr>
        <w:t>强化城市安全风险管控</w:t>
      </w:r>
      <w:r>
        <w:rPr>
          <w:rFonts w:hint="eastAsia" w:ascii="方正仿宋_GBK" w:hAnsi="方正仿宋_GBK" w:eastAsia="方正仿宋_GBK" w:cs="方正仿宋_GBK"/>
          <w:sz w:val="32"/>
          <w:szCs w:val="32"/>
          <w:shd w:val="clear" w:color="auto" w:fill="FFFFFF"/>
        </w:rPr>
        <w:t>。结合城市运行风险辨识、评估、分级、管控各环节实际需求，完善城市运行安全形势分析、监测预警、评估论证和联合会商工作机制。加强城市棚户区、城中村和危房改造过程中的安全监督，加强城镇老旧小区改造，增强城市防洪排涝能力。提高基础设施安全配置标准，加强城市地下管线规划。加强火灾高风险场所整治，全面推行火灾高危单位、消防安全重点单位消防标准化管理。</w:t>
      </w:r>
      <w:bookmarkEnd w:id="991"/>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color w:val="auto"/>
          <w:spacing w:val="8"/>
          <w:sz w:val="32"/>
          <w:szCs w:val="32"/>
        </w:rPr>
      </w:pPr>
      <w:bookmarkStart w:id="1017" w:name="_Toc15135"/>
      <w:bookmarkStart w:id="1018" w:name="_Toc88078923"/>
      <w:bookmarkStart w:id="1019" w:name="_Toc4921"/>
      <w:bookmarkStart w:id="1020" w:name="_Toc18862"/>
      <w:bookmarkStart w:id="1021" w:name="_Toc8976"/>
      <w:bookmarkStart w:id="1022" w:name="_Toc15389"/>
      <w:bookmarkStart w:id="1023" w:name="_Toc19072"/>
      <w:bookmarkStart w:id="1024" w:name="_Toc4628"/>
      <w:bookmarkStart w:id="1025" w:name="_Toc5389"/>
      <w:bookmarkStart w:id="1026" w:name="_Toc19802"/>
      <w:bookmarkStart w:id="1027" w:name="_Toc4149"/>
      <w:bookmarkStart w:id="1028" w:name="_Toc13436"/>
      <w:bookmarkStart w:id="1029" w:name="_Toc25874"/>
      <w:bookmarkStart w:id="1030" w:name="_Toc10994"/>
      <w:bookmarkStart w:id="1031" w:name="_Toc20000"/>
      <w:bookmarkStart w:id="1032" w:name="_Toc19894"/>
      <w:bookmarkStart w:id="1033" w:name="_Toc91769308"/>
      <w:bookmarkStart w:id="1034" w:name="_Toc27650"/>
      <w:bookmarkStart w:id="1035" w:name="_Toc12963"/>
      <w:bookmarkStart w:id="1036" w:name="_Toc6331"/>
      <w:bookmarkStart w:id="1037" w:name="_Toc31121"/>
      <w:bookmarkStart w:id="1038" w:name="_Toc87346246"/>
      <w:bookmarkStart w:id="1039" w:name="_Toc28319"/>
      <w:bookmarkStart w:id="1040" w:name="_Toc28202"/>
      <w:bookmarkStart w:id="1041" w:name="_Toc29041"/>
      <w:bookmarkStart w:id="1042" w:name="_Toc21501"/>
      <w:bookmarkStart w:id="1043" w:name="_Toc2639"/>
      <w:bookmarkStart w:id="1044" w:name="_Toc25546"/>
      <w:bookmarkStart w:id="1045" w:name="_Toc23481"/>
      <w:bookmarkStart w:id="1046" w:name="_Toc9198"/>
      <w:bookmarkStart w:id="1047" w:name="_Toc27633"/>
      <w:r>
        <w:rPr>
          <w:rFonts w:hint="eastAsia" w:ascii="方正楷体_GBK" w:hAnsi="方正楷体_GBK" w:eastAsia="方正楷体_GBK" w:cs="方正楷体_GBK"/>
          <w:color w:val="auto"/>
          <w:spacing w:val="8"/>
          <w:sz w:val="32"/>
          <w:szCs w:val="32"/>
          <w:lang w:eastAsia="zh-CN"/>
        </w:rPr>
        <w:t>第四节</w:t>
      </w:r>
      <w:r>
        <w:rPr>
          <w:rFonts w:hint="eastAsia" w:ascii="方正楷体_GBK" w:hAnsi="方正楷体_GBK" w:eastAsia="方正楷体_GBK" w:cs="方正楷体_GBK"/>
          <w:color w:val="auto"/>
          <w:spacing w:val="8"/>
          <w:sz w:val="32"/>
          <w:szCs w:val="32"/>
          <w:lang w:val="en-US" w:eastAsia="zh-CN"/>
        </w:rPr>
        <w:t xml:space="preserve"> </w:t>
      </w:r>
      <w:r>
        <w:rPr>
          <w:rFonts w:hint="eastAsia" w:ascii="方正楷体_GBK" w:hAnsi="方正楷体_GBK" w:eastAsia="方正楷体_GBK" w:cs="方正楷体_GBK"/>
          <w:color w:val="auto"/>
          <w:spacing w:val="8"/>
          <w:sz w:val="32"/>
          <w:szCs w:val="32"/>
        </w:rPr>
        <w:t>加强自然灾害综合治理</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keepNext w:val="0"/>
        <w:keepLines w:val="0"/>
        <w:pageBreakBefore w:val="0"/>
        <w:kinsoku/>
        <w:overflowPunct/>
        <w:topLinePunct/>
        <w:bidi w:val="0"/>
        <w:adjustRightInd w:val="0"/>
        <w:spacing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改善城乡防灾基础条件。</w:t>
      </w:r>
      <w:r>
        <w:rPr>
          <w:rFonts w:hint="eastAsia" w:ascii="方正仿宋_GBK" w:hAnsi="方正仿宋_GBK" w:eastAsia="方正仿宋_GBK" w:cs="方正仿宋_GBK"/>
          <w:sz w:val="32"/>
          <w:szCs w:val="32"/>
          <w:shd w:val="clear" w:color="auto" w:fill="FFFFFF"/>
        </w:rPr>
        <w:t>落实防灾减灾工程建设标准，加强城市防洪排涝与调蓄设施建设，全面提高城市防洪排涝标准，开展城市重要建筑、基础设施系统及社区抗震韧性评价及加固改造，提升灾害高风险区域内学校、医院、居民住房、基础设施及文物保护单位的设防水平和承灾容灾备灾水平，推进海绵城市、韧性城市建设。持续推动全国综合减灾示范社区创建工作，</w:t>
      </w:r>
      <w:r>
        <w:rPr>
          <w:rFonts w:hint="eastAsia" w:ascii="方正仿宋_GBK" w:hAnsi="方正仿宋_GBK" w:eastAsia="方正仿宋_GBK" w:cs="方正仿宋_GBK"/>
          <w:sz w:val="32"/>
          <w:szCs w:val="32"/>
        </w:rPr>
        <w:t>加强应急避难场所的建设与管理。</w:t>
      </w:r>
      <w:r>
        <w:rPr>
          <w:rFonts w:hint="eastAsia" w:ascii="方正仿宋_GBK" w:hAnsi="方正仿宋_GBK" w:eastAsia="方正仿宋_GBK" w:cs="方正仿宋_GBK"/>
          <w:sz w:val="32"/>
          <w:szCs w:val="32"/>
          <w:shd w:val="clear" w:color="auto" w:fill="FFFFFF"/>
        </w:rPr>
        <w:t>提高城乡公共消防设施和城镇周边森林草原防火设施建设水平，统筹规划建设消防救援站点。继续实施农村牧区危房改造和地震高烈度设防地区农牧区房屋抗震加固与改造，完善农村牧区道路安全设施。</w:t>
      </w:r>
    </w:p>
    <w:p>
      <w:pPr>
        <w:keepNext w:val="0"/>
        <w:keepLines w:val="0"/>
        <w:pageBreakBefore w:val="0"/>
        <w:kinsoku/>
        <w:overflowPunct/>
        <w:topLinePunct/>
        <w:bidi w:val="0"/>
        <w:adjustRightInd w:val="0"/>
        <w:spacing w:after="298" w:afterLines="50" w:line="580" w:lineRule="exact"/>
        <w:ind w:firstLine="664"/>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8"/>
          <w:sz w:val="32"/>
          <w:szCs w:val="32"/>
        </w:rPr>
        <w:t>提升重大设施设防水平。</w:t>
      </w:r>
      <w:r>
        <w:rPr>
          <w:rFonts w:hint="eastAsia" w:ascii="方正仿宋_GBK" w:hAnsi="方正仿宋_GBK" w:eastAsia="方正仿宋_GBK" w:cs="方正仿宋_GBK"/>
          <w:sz w:val="32"/>
          <w:szCs w:val="32"/>
          <w:shd w:val="clear" w:color="auto" w:fill="FFFFFF"/>
        </w:rPr>
        <w:t>加大对自然灾害综合治理投入力度，加快补齐应急基础设施建设短板。</w:t>
      </w:r>
      <w:r>
        <w:rPr>
          <w:rFonts w:hint="eastAsia" w:ascii="方正仿宋_GBK" w:hAnsi="方正仿宋_GBK" w:eastAsia="方正仿宋_GBK" w:cs="方正仿宋_GBK"/>
          <w:sz w:val="32"/>
          <w:szCs w:val="32"/>
        </w:rPr>
        <w:t>加强</w:t>
      </w:r>
      <w:r>
        <w:rPr>
          <w:rFonts w:hint="eastAsia" w:ascii="方正仿宋_GBK" w:hAnsi="方正仿宋_GBK" w:eastAsia="方正仿宋_GBK" w:cs="方正仿宋_GBK"/>
          <w:sz w:val="32"/>
          <w:szCs w:val="32"/>
          <w:shd w:val="clear" w:color="auto" w:fill="FFFFFF"/>
        </w:rPr>
        <w:t>大江大河大湖堤防建设与河道整治、</w:t>
      </w:r>
      <w:r>
        <w:rPr>
          <w:rFonts w:hint="eastAsia" w:ascii="方正仿宋_GBK" w:hAnsi="方正仿宋_GBK" w:eastAsia="方正仿宋_GBK" w:cs="方正仿宋_GBK"/>
          <w:sz w:val="32"/>
          <w:szCs w:val="32"/>
        </w:rPr>
        <w:t>中小河流治理、病险水库除险加固，</w:t>
      </w:r>
      <w:r>
        <w:rPr>
          <w:rFonts w:hint="eastAsia" w:ascii="方正仿宋_GBK" w:hAnsi="方正仿宋_GBK" w:eastAsia="方正仿宋_GBK" w:cs="方正仿宋_GBK"/>
          <w:sz w:val="32"/>
          <w:szCs w:val="32"/>
          <w:shd w:val="clear" w:color="auto" w:fill="FFFFFF"/>
        </w:rPr>
        <w:t>推进重大地质灾害隐患工程治理和</w:t>
      </w:r>
      <w:r>
        <w:rPr>
          <w:rFonts w:hint="eastAsia" w:ascii="方正仿宋_GBK" w:hAnsi="方正仿宋_GBK" w:eastAsia="方正仿宋_GBK" w:cs="方正仿宋_GBK"/>
          <w:sz w:val="32"/>
          <w:szCs w:val="32"/>
        </w:rPr>
        <w:t>山洪灾害防治</w:t>
      </w:r>
      <w:r>
        <w:rPr>
          <w:rFonts w:hint="eastAsia" w:ascii="方正仿宋_GBK" w:hAnsi="方正仿宋_GBK" w:eastAsia="方正仿宋_GBK" w:cs="方正仿宋_GBK"/>
          <w:sz w:val="32"/>
          <w:szCs w:val="32"/>
          <w:shd w:val="clear" w:color="auto" w:fill="FFFFFF"/>
        </w:rPr>
        <w:t>，全面</w:t>
      </w:r>
      <w:r>
        <w:rPr>
          <w:rFonts w:hint="eastAsia" w:ascii="方正仿宋_GBK" w:hAnsi="方正仿宋_GBK" w:eastAsia="方正仿宋_GBK" w:cs="方正仿宋_GBK"/>
          <w:sz w:val="32"/>
          <w:szCs w:val="32"/>
        </w:rPr>
        <w:t>提高防洪和地质灾害抵御能力</w:t>
      </w:r>
      <w:r>
        <w:rPr>
          <w:rFonts w:hint="eastAsia" w:ascii="方正仿宋_GBK" w:hAnsi="方正仿宋_GBK" w:eastAsia="方正仿宋_GBK" w:cs="方正仿宋_GBK"/>
          <w:sz w:val="32"/>
          <w:szCs w:val="32"/>
          <w:shd w:val="clear" w:color="auto" w:fill="FFFFFF"/>
        </w:rPr>
        <w:t>。加快干旱灾害频发多发地区人畜饮水困难应急供水送</w:t>
      </w:r>
      <w:r>
        <w:rPr>
          <w:rFonts w:hint="eastAsia" w:ascii="方正仿宋_GBK" w:hAnsi="方正仿宋_GBK" w:eastAsia="方正仿宋_GBK" w:cs="方正仿宋_GBK"/>
          <w:spacing w:val="-6"/>
          <w:sz w:val="32"/>
          <w:szCs w:val="32"/>
          <w:shd w:val="clear" w:color="auto" w:fill="FFFFFF"/>
        </w:rPr>
        <w:t>水设施建设，</w:t>
      </w:r>
      <w:r>
        <w:rPr>
          <w:rFonts w:hint="eastAsia" w:ascii="方正仿宋_GBK" w:hAnsi="方正仿宋_GBK" w:eastAsia="方正仿宋_GBK" w:cs="方正仿宋_GBK"/>
          <w:spacing w:val="-6"/>
          <w:sz w:val="32"/>
          <w:szCs w:val="32"/>
        </w:rPr>
        <w:t>发挥人工影响天气作业在抗旱防雹、雨量调节中的积极作用。加强林区和牧区防灭火基础设施建设，提高防灭火能力。</w:t>
      </w:r>
    </w:p>
    <w:p>
      <w:pPr>
        <w:keepNext w:val="0"/>
        <w:keepLines w:val="0"/>
        <w:pageBreakBefore w:val="0"/>
        <w:kinsoku/>
        <w:overflowPunct/>
        <w:topLinePunct/>
        <w:bidi w:val="0"/>
        <w:adjustRightInd w:val="0"/>
        <w:spacing w:after="298" w:afterLines="50" w:line="580" w:lineRule="exact"/>
        <w:ind w:firstLine="664"/>
        <w:rPr>
          <w:rFonts w:hint="eastAsia" w:ascii="方正仿宋_GBK" w:hAnsi="方正仿宋_GBK" w:eastAsia="方正仿宋_GBK" w:cs="方正仿宋_GBK"/>
          <w:spacing w:val="-6"/>
          <w:sz w:val="32"/>
          <w:szCs w:val="32"/>
        </w:rPr>
      </w:pPr>
    </w:p>
    <w:tbl>
      <w:tblPr>
        <w:tblStyle w:val="14"/>
        <w:tblW w:w="88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8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454" w:hRule="atLeast"/>
        </w:trPr>
        <w:tc>
          <w:tcPr>
            <w:tcW w:w="8855" w:type="dxa"/>
            <w:noWrap/>
            <w:vAlign w:val="center"/>
          </w:tcPr>
          <w:p>
            <w:pPr>
              <w:keepNext w:val="0"/>
              <w:keepLines w:val="0"/>
              <w:pageBreakBefore w:val="0"/>
              <w:widowControl w:val="0"/>
              <w:kinsoku/>
              <w:wordWrap/>
              <w:overflowPunct/>
              <w:topLinePunct/>
              <w:autoSpaceDE/>
              <w:autoSpaceDN/>
              <w:bidi w:val="0"/>
              <w:adjustRightInd w:val="0"/>
              <w:snapToGrid/>
              <w:spacing w:before="178" w:beforeLines="30" w:after="178" w:afterLines="30" w:line="400" w:lineRule="exact"/>
              <w:ind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专栏4 自然灾害综合治理重点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801" w:hRule="atLeast"/>
        </w:trPr>
        <w:tc>
          <w:tcPr>
            <w:tcW w:w="8855" w:type="dxa"/>
            <w:noWrap/>
            <w:vAlign w:val="center"/>
          </w:tcPr>
          <w:p>
            <w:pPr>
              <w:keepNext w:val="0"/>
              <w:keepLines w:val="0"/>
              <w:pageBreakBefore w:val="0"/>
              <w:widowControl w:val="0"/>
              <w:shd w:val="clear" w:color="auto" w:fill="FFFFFF"/>
              <w:kinsoku/>
              <w:wordWrap/>
              <w:overflowPunct/>
              <w:topLinePunct/>
              <w:autoSpaceDE/>
              <w:autoSpaceDN/>
              <w:bidi w:val="0"/>
              <w:adjustRightInd/>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1.水旱灾害</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推进大江大河干流治理工程建设，实现黄河、嫩江、辽河干流三级以上堤防全面达标。实施昆都仑、巴图湾、翰嘎利、尔力湖沟等病险水库除险加固。推进呼和浩特市、包头市等9个城市防洪排涝工程。推进抗旱水源建设，继续建设引绰济辽引调水工程和东台子水库等水源工程，积极推进引嫩济锡前期工作。推进农村牧区饮水安全巩固提升工程。提升水旱灾害专业物资保障能力。</w:t>
            </w:r>
          </w:p>
          <w:p>
            <w:pPr>
              <w:keepNext w:val="0"/>
              <w:keepLines w:val="0"/>
              <w:pageBreakBefore w:val="0"/>
              <w:widowControl w:val="0"/>
              <w:shd w:val="clear" w:color="auto" w:fill="FFFFFF"/>
              <w:kinsoku/>
              <w:wordWrap/>
              <w:overflowPunct/>
              <w:topLinePunct/>
              <w:autoSpaceDE/>
              <w:autoSpaceDN/>
              <w:bidi w:val="0"/>
              <w:adjustRightInd/>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2.森林草原火灾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建立完善自治区本级火险预警共享平台，及时共享掌握各地火险情况和等级。完善大兴安岭雷击火、边境线境外火监测设施建设。扩大瞭望和视频监测范围。加强应急道路和边境、林缘防火隔离带建设。</w:t>
            </w:r>
          </w:p>
          <w:p>
            <w:pPr>
              <w:keepNext w:val="0"/>
              <w:keepLines w:val="0"/>
              <w:pageBreakBefore w:val="0"/>
              <w:widowControl w:val="0"/>
              <w:shd w:val="clear" w:color="auto" w:fill="FFFFFF"/>
              <w:kinsoku/>
              <w:wordWrap/>
              <w:overflowPunct/>
              <w:topLinePunct/>
              <w:autoSpaceDE/>
              <w:autoSpaceDN/>
              <w:bidi w:val="0"/>
              <w:adjustRightInd/>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3.地震灾害</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加快推进实施全区地震易发区基础设施及房屋加固工程，包含供电、通信、桥梁、水库等基础设施，学校、医院等公益性服务设施，农村牧区房屋等。</w:t>
            </w:r>
          </w:p>
          <w:p>
            <w:pPr>
              <w:keepNext w:val="0"/>
              <w:keepLines w:val="0"/>
              <w:pageBreakBefore w:val="0"/>
              <w:widowControl w:val="0"/>
              <w:shd w:val="clear" w:color="auto" w:fill="FFFFFF"/>
              <w:kinsoku/>
              <w:wordWrap/>
              <w:overflowPunct/>
              <w:topLinePunct/>
              <w:autoSpaceDE/>
              <w:autoSpaceDN/>
              <w:bidi w:val="0"/>
              <w:adjustRightInd/>
              <w:snapToGrid/>
              <w:spacing w:line="400" w:lineRule="exact"/>
              <w:ind w:left="0" w:leftChars="0" w:firstLine="56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4.应急避难场所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利用公园、广场、学校、体育场馆、人防工程等公共设施建设应急避难场所，完善公共设施和建筑应急避难功能。完善应急避难场所的应急供电、应急供水、应急排水、应急广播和消防等应急设施建设，加强冬季避难物资储备，提升冬季应急避难能力。</w:t>
            </w:r>
          </w:p>
        </w:tc>
      </w:tr>
    </w:tbl>
    <w:p>
      <w:pPr>
        <w:keepNext w:val="0"/>
        <w:keepLines w:val="0"/>
        <w:pageBreakBefore w:val="0"/>
        <w:shd w:val="clear" w:color="auto" w:fill="FFFFFF"/>
        <w:kinsoku/>
        <w:overflowPunct/>
        <w:topLinePunct/>
        <w:bidi w:val="0"/>
        <w:adjustRightInd w:val="0"/>
        <w:spacing w:before="298" w:beforeLines="50" w:line="580" w:lineRule="exact"/>
        <w:ind w:firstLine="664"/>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提高灾后救助恢复保障能力。</w:t>
      </w:r>
      <w:r>
        <w:rPr>
          <w:rFonts w:hint="eastAsia" w:ascii="方正仿宋_GBK" w:hAnsi="方正仿宋_GBK" w:eastAsia="方正仿宋_GBK" w:cs="方正仿宋_GBK"/>
          <w:kern w:val="0"/>
          <w:sz w:val="32"/>
          <w:szCs w:val="32"/>
        </w:rPr>
        <w:t>建立健全受灾群众过渡安置和救助、自然灾害救助标准调整、社会动员等工作机制，探索实行灾后救助与其他专项救助相互结合的工作模式，保障受灾群众基本生活。科学开展灾害损失评估、次生衍生灾害隐患排查及危险性评估。强</w:t>
      </w:r>
      <w:r>
        <w:rPr>
          <w:rFonts w:hint="eastAsia" w:ascii="方正仿宋_GBK" w:hAnsi="方正仿宋_GBK" w:eastAsia="方正仿宋_GBK" w:cs="方正仿宋_GBK"/>
          <w:kern w:val="0"/>
          <w:sz w:val="32"/>
          <w:szCs w:val="32"/>
          <w:lang w:eastAsia="zh-CN"/>
        </w:rPr>
        <w:t>化</w:t>
      </w:r>
      <w:r>
        <w:rPr>
          <w:rFonts w:hint="eastAsia" w:ascii="方正仿宋_GBK" w:hAnsi="方正仿宋_GBK" w:eastAsia="方正仿宋_GBK" w:cs="方正仿宋_GBK"/>
          <w:kern w:val="0"/>
          <w:sz w:val="32"/>
          <w:szCs w:val="32"/>
        </w:rPr>
        <w:t>灾后恢复重建政策实施监督，加强灾后恢复重建资金、物资管理，引导各类贷款、对口支援资金、社会捐赠资金及物资等参与灾后恢复重建，积极推广以工代赈方式。</w:t>
      </w:r>
      <w:bookmarkStart w:id="1048" w:name="_Toc23375"/>
      <w:bookmarkStart w:id="1049" w:name="_Toc16248"/>
      <w:bookmarkStart w:id="1050" w:name="_Toc3310"/>
      <w:bookmarkStart w:id="1051" w:name="_Toc27668"/>
      <w:bookmarkStart w:id="1052" w:name="_Toc21584"/>
      <w:bookmarkStart w:id="1053" w:name="_Toc29628"/>
      <w:bookmarkStart w:id="1054" w:name="_Toc29245"/>
      <w:bookmarkStart w:id="1055" w:name="_Toc9769"/>
      <w:bookmarkStart w:id="1056" w:name="_Toc28888"/>
      <w:bookmarkStart w:id="1057" w:name="_Toc121"/>
      <w:bookmarkStart w:id="1058" w:name="_Toc22854"/>
      <w:bookmarkStart w:id="1059" w:name="_Toc29102"/>
      <w:bookmarkStart w:id="1060" w:name="_Toc23509"/>
      <w:bookmarkStart w:id="1061" w:name="_Toc26706"/>
      <w:bookmarkStart w:id="1062" w:name="_Toc29781"/>
      <w:bookmarkStart w:id="1063" w:name="_Toc21403"/>
      <w:bookmarkStart w:id="1064" w:name="_Toc5542"/>
      <w:bookmarkStart w:id="1065" w:name="_Toc11494"/>
      <w:bookmarkStart w:id="1066" w:name="_Toc15198"/>
      <w:bookmarkStart w:id="1067" w:name="_Toc3282"/>
      <w:bookmarkStart w:id="1068" w:name="_Toc25844"/>
      <w:bookmarkStart w:id="1069" w:name="_Toc28287"/>
      <w:bookmarkStart w:id="1070" w:name="_Toc6297"/>
    </w:p>
    <w:p>
      <w:pPr>
        <w:keepNext w:val="0"/>
        <w:keepLines w:val="0"/>
        <w:pageBreakBefore w:val="0"/>
        <w:kinsoku/>
        <w:overflowPunct/>
        <w:topLinePunct/>
        <w:bidi w:val="0"/>
        <w:adjustRightInd w:val="0"/>
        <w:spacing w:before="298" w:beforeLines="50" w:after="298" w:afterLines="50" w:line="580" w:lineRule="exact"/>
        <w:jc w:val="center"/>
        <w:outlineLvl w:val="0"/>
        <w:rPr>
          <w:rFonts w:hint="eastAsia" w:ascii="方正黑体_GBK" w:hAnsi="方正黑体_GBK" w:eastAsia="方正黑体_GBK" w:cs="方正黑体_GBK"/>
          <w:spacing w:val="8"/>
          <w:sz w:val="32"/>
          <w:szCs w:val="32"/>
        </w:rPr>
      </w:pPr>
      <w:bookmarkStart w:id="1071" w:name="_Toc20830"/>
      <w:bookmarkStart w:id="1072" w:name="_Toc29203"/>
      <w:bookmarkStart w:id="1073" w:name="_Toc24946"/>
      <w:bookmarkStart w:id="1074" w:name="_Toc29646"/>
      <w:bookmarkStart w:id="1075" w:name="_Toc6912"/>
      <w:bookmarkStart w:id="1076" w:name="_Toc6535"/>
      <w:bookmarkStart w:id="1077" w:name="_Toc4999"/>
      <w:bookmarkStart w:id="1078" w:name="_Toc7427"/>
      <w:bookmarkStart w:id="1079" w:name="_Toc3055"/>
      <w:bookmarkStart w:id="1080" w:name="_Toc12420"/>
      <w:bookmarkStart w:id="1081" w:name="_Toc24133"/>
      <w:bookmarkStart w:id="1082" w:name="_Toc22555"/>
      <w:bookmarkStart w:id="1083" w:name="_Toc10022"/>
      <w:bookmarkStart w:id="1084" w:name="_Toc11908"/>
      <w:bookmarkStart w:id="1085" w:name="_Toc7184"/>
      <w:bookmarkStart w:id="1086" w:name="_Toc88078924"/>
      <w:bookmarkStart w:id="1087" w:name="_Toc91769309"/>
      <w:bookmarkStart w:id="1088" w:name="_Toc18892"/>
      <w:bookmarkStart w:id="1089" w:name="_Toc5284"/>
      <w:bookmarkStart w:id="1090" w:name="_Toc29092"/>
      <w:bookmarkStart w:id="1091" w:name="_Toc2965"/>
      <w:bookmarkStart w:id="1092" w:name="_Toc26395"/>
      <w:bookmarkStart w:id="1093" w:name="_Toc29973"/>
      <w:bookmarkStart w:id="1094" w:name="_Toc11136"/>
      <w:bookmarkStart w:id="1095" w:name="_Toc24592"/>
      <w:bookmarkStart w:id="1096" w:name="_Toc14877"/>
      <w:bookmarkStart w:id="1097" w:name="_Toc87346247"/>
      <w:bookmarkStart w:id="1098" w:name="_Toc17821"/>
      <w:bookmarkStart w:id="1099" w:name="_Toc9587"/>
      <w:bookmarkStart w:id="1100" w:name="_Toc21755"/>
      <w:bookmarkStart w:id="1101" w:name="_Toc31453"/>
      <w:bookmarkStart w:id="1102" w:name="_Toc11252"/>
      <w:bookmarkStart w:id="1103" w:name="_Toc23495"/>
      <w:bookmarkStart w:id="1104" w:name="_Toc2852"/>
      <w:bookmarkStart w:id="1105" w:name="_Toc16368"/>
      <w:bookmarkStart w:id="1106" w:name="_Toc32586"/>
      <w:bookmarkStart w:id="1107" w:name="_Toc27191"/>
      <w:bookmarkStart w:id="1108" w:name="_Toc18539"/>
      <w:bookmarkStart w:id="1109" w:name="_Toc6357"/>
      <w:r>
        <w:rPr>
          <w:rFonts w:hint="eastAsia" w:ascii="方正黑体_GBK" w:hAnsi="方正黑体_GBK" w:eastAsia="方正黑体_GBK" w:cs="方正黑体_GBK"/>
          <w:sz w:val="32"/>
          <w:szCs w:val="32"/>
        </w:rPr>
        <w:t>第五章 完善应急救援体系</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Start w:id="1110" w:name="_Toc11514"/>
      <w:bookmarkStart w:id="1111" w:name="_Toc25843"/>
      <w:bookmarkStart w:id="1112" w:name="_Toc4437"/>
      <w:bookmarkStart w:id="1113" w:name="_Toc20952"/>
      <w:bookmarkStart w:id="1114" w:name="_Toc20868"/>
      <w:bookmarkStart w:id="1115" w:name="_Toc24116"/>
      <w:bookmarkStart w:id="1116" w:name="_Toc24199"/>
      <w:bookmarkStart w:id="1117" w:name="_Toc9251"/>
      <w:bookmarkStart w:id="1118" w:name="_Toc17085"/>
      <w:bookmarkStart w:id="1119" w:name="_Toc28750"/>
      <w:bookmarkStart w:id="1120" w:name="_Toc22007"/>
      <w:bookmarkStart w:id="1121" w:name="_Toc7300"/>
      <w:bookmarkStart w:id="1122" w:name="_Toc27810"/>
      <w:bookmarkStart w:id="1123" w:name="_Toc2462"/>
      <w:bookmarkStart w:id="1124" w:name="_Toc829"/>
      <w:bookmarkStart w:id="1125" w:name="_Toc24188"/>
      <w:bookmarkStart w:id="1126" w:name="_Toc11484"/>
    </w:p>
    <w:p>
      <w:pPr>
        <w:keepNext w:val="0"/>
        <w:keepLines w:val="0"/>
        <w:pageBreakBefore w:val="0"/>
        <w:kinsoku/>
        <w:overflowPunct/>
        <w:topLinePunct/>
        <w:bidi w:val="0"/>
        <w:adjustRightInd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127" w:name="_Toc11446"/>
      <w:bookmarkStart w:id="1128" w:name="_Toc17921"/>
      <w:bookmarkStart w:id="1129" w:name="_Toc19948"/>
      <w:bookmarkStart w:id="1130" w:name="_Toc171"/>
      <w:bookmarkStart w:id="1131" w:name="_Toc23030"/>
      <w:bookmarkStart w:id="1132" w:name="_Toc88078925"/>
      <w:bookmarkStart w:id="1133" w:name="_Toc14834"/>
      <w:bookmarkStart w:id="1134" w:name="_Toc18985"/>
      <w:bookmarkStart w:id="1135" w:name="_Toc15965"/>
      <w:bookmarkStart w:id="1136" w:name="_Toc24179"/>
      <w:bookmarkStart w:id="1137" w:name="_Toc12676"/>
      <w:bookmarkStart w:id="1138" w:name="_Toc15238"/>
      <w:bookmarkStart w:id="1139" w:name="_Toc87346248"/>
      <w:bookmarkStart w:id="1140" w:name="_Toc22181"/>
      <w:bookmarkStart w:id="1141" w:name="_Toc12682"/>
      <w:bookmarkStart w:id="1142" w:name="_Toc91769310"/>
      <w:bookmarkStart w:id="1143" w:name="_Toc6764"/>
      <w:bookmarkStart w:id="1144" w:name="_Toc23838"/>
      <w:r>
        <w:rPr>
          <w:rFonts w:hint="eastAsia" w:ascii="方正楷体_GBK" w:hAnsi="方正楷体_GBK" w:eastAsia="方正楷体_GBK" w:cs="方正楷体_GBK"/>
          <w:spacing w:val="8"/>
          <w:sz w:val="32"/>
          <w:szCs w:val="32"/>
          <w:lang w:eastAsia="zh-CN"/>
        </w:rPr>
        <w:t>第一节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强化应急预案</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r>
        <w:rPr>
          <w:rFonts w:hint="eastAsia" w:ascii="方正楷体_GBK" w:hAnsi="方正楷体_GBK" w:eastAsia="方正楷体_GBK" w:cs="方正楷体_GBK"/>
          <w:spacing w:val="8"/>
          <w:sz w:val="32"/>
          <w:szCs w:val="32"/>
        </w:rPr>
        <w:t>准备</w:t>
      </w:r>
      <w:bookmarkEnd w:id="1142"/>
    </w:p>
    <w:p>
      <w:pPr>
        <w:keepNext w:val="0"/>
        <w:keepLines w:val="0"/>
        <w:pageBreakBefore w:val="0"/>
        <w:kinsoku/>
        <w:overflowPunct/>
        <w:topLinePunct/>
        <w:bidi w:val="0"/>
        <w:adjustRightInd w:val="0"/>
        <w:spacing w:line="580" w:lineRule="exact"/>
        <w:ind w:firstLine="664"/>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加强应急预案管理。</w:t>
      </w:r>
      <w:r>
        <w:rPr>
          <w:rFonts w:hint="eastAsia" w:ascii="方正仿宋_GBK" w:hAnsi="方正仿宋_GBK" w:eastAsia="方正仿宋_GBK" w:cs="方正仿宋_GBK"/>
          <w:sz w:val="32"/>
          <w:szCs w:val="32"/>
        </w:rPr>
        <w:t>修订完善自治区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盟市、旗县（市、区）突发事件总体预案、专项应急预案、部门应急预案，指导苏木乡镇</w:t>
      </w:r>
      <w:r>
        <w:rPr>
          <w:rFonts w:hint="eastAsia" w:ascii="方正仿宋_GBK" w:hAnsi="方正仿宋_GBK" w:eastAsia="方正仿宋_GBK" w:cs="方正仿宋_GBK"/>
          <w:sz w:val="32"/>
          <w:szCs w:val="32"/>
          <w:lang w:eastAsia="zh-CN"/>
        </w:rPr>
        <w:t>（街道）</w:t>
      </w:r>
      <w:r>
        <w:rPr>
          <w:rFonts w:hint="eastAsia" w:ascii="方正仿宋_GBK" w:hAnsi="方正仿宋_GBK" w:eastAsia="方正仿宋_GBK" w:cs="方正仿宋_GBK"/>
          <w:sz w:val="32"/>
          <w:szCs w:val="32"/>
        </w:rPr>
        <w:t>、嘎查村（社区）等基层组织编制应急预案，针对重要目标、重大危险源、重大活动、重大基础设施编制安全保障应急预案，推动灾害防治单位、生产经营单位履行本单位应急预案编制职责，对预案编制和实施情况进行监督检查。</w:t>
      </w:r>
      <w:r>
        <w:rPr>
          <w:rFonts w:hint="eastAsia" w:ascii="方正仿宋_GBK" w:hAnsi="方正仿宋_GBK" w:eastAsia="方正仿宋_GBK" w:cs="方正仿宋_GBK"/>
          <w:sz w:val="32"/>
          <w:szCs w:val="32"/>
          <w:shd w:val="clear" w:color="auto" w:fill="FFFFFF"/>
        </w:rPr>
        <w:t>建设应急预案数字化管理平台，加强预案配套工作手册、行动方案等支撑性文件的编制和管理。加强预案宣传培训，建立健全预案督促指导工作机制。加强队伍、装备、物资等应急预案支撑保障，确保应急响应启动后各专项任务措施执行到位。</w:t>
      </w:r>
    </w:p>
    <w:p>
      <w:pPr>
        <w:keepNext w:val="0"/>
        <w:keepLines w:val="0"/>
        <w:pageBreakBefore w:val="0"/>
        <w:shd w:val="clear" w:color="auto" w:fill="FFFFFF"/>
        <w:kinsoku/>
        <w:overflowPunct/>
        <w:topLinePunct/>
        <w:bidi w:val="0"/>
        <w:adjustRightInd w:val="0"/>
        <w:spacing w:line="580" w:lineRule="exact"/>
        <w:ind w:firstLine="664"/>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0"/>
          <w:sz w:val="32"/>
          <w:szCs w:val="32"/>
        </w:rPr>
        <w:t>强化应急演练组织实施与评估。建立健全应急演练制度，加强应急演练的标准化组织与实施。</w:t>
      </w:r>
      <w:r>
        <w:rPr>
          <w:rFonts w:hint="eastAsia" w:ascii="方正仿宋_GBK" w:hAnsi="方正仿宋_GBK" w:eastAsia="方正仿宋_GBK" w:cs="方正仿宋_GBK"/>
          <w:spacing w:val="0"/>
          <w:sz w:val="32"/>
          <w:szCs w:val="32"/>
          <w:shd w:val="clear" w:color="auto" w:fill="FFFFFF"/>
        </w:rPr>
        <w:t>制订并落实应急演练计划，鼓励开展形式多样、节约高效的常态化应急演练，重点加强重大灾害事故演练。</w:t>
      </w:r>
      <w:r>
        <w:rPr>
          <w:rFonts w:hint="eastAsia" w:ascii="方正仿宋_GBK" w:hAnsi="方正仿宋_GBK" w:eastAsia="方正仿宋_GBK" w:cs="方正仿宋_GBK"/>
          <w:spacing w:val="0"/>
          <w:sz w:val="32"/>
          <w:szCs w:val="32"/>
        </w:rPr>
        <w:t>实行应急演练评估制度</w:t>
      </w:r>
      <w:r>
        <w:rPr>
          <w:rFonts w:hint="eastAsia" w:ascii="方正仿宋_GBK" w:hAnsi="方正仿宋_GBK" w:eastAsia="方正仿宋_GBK" w:cs="方正仿宋_GBK"/>
          <w:spacing w:val="0"/>
          <w:sz w:val="32"/>
          <w:szCs w:val="32"/>
          <w:shd w:val="clear" w:color="auto" w:fill="FFFFFF"/>
        </w:rPr>
        <w:t>，完善评估方法及标准</w:t>
      </w:r>
      <w:r>
        <w:rPr>
          <w:rFonts w:hint="eastAsia" w:ascii="方正仿宋_GBK" w:hAnsi="方正仿宋_GBK" w:eastAsia="方正仿宋_GBK" w:cs="方正仿宋_GBK"/>
          <w:spacing w:val="0"/>
          <w:sz w:val="32"/>
          <w:szCs w:val="32"/>
        </w:rPr>
        <w:t>，及时组织开展效果评估。</w:t>
      </w:r>
    </w:p>
    <w:bookmarkEnd w:id="1048"/>
    <w:bookmarkEnd w:id="1049"/>
    <w:bookmarkEnd w:id="1050"/>
    <w:bookmarkEnd w:id="1106"/>
    <w:bookmarkEnd w:id="1107"/>
    <w:bookmarkEnd w:id="1108"/>
    <w:bookmarkEnd w:id="1109"/>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145" w:name="_Toc87346249"/>
      <w:bookmarkStart w:id="1146" w:name="_Toc25137"/>
      <w:bookmarkStart w:id="1147" w:name="_Toc25091"/>
      <w:bookmarkStart w:id="1148" w:name="_Toc30786"/>
      <w:bookmarkStart w:id="1149" w:name="_Toc21242"/>
      <w:bookmarkStart w:id="1150" w:name="_Toc20058"/>
      <w:bookmarkStart w:id="1151" w:name="_Toc10214"/>
      <w:bookmarkStart w:id="1152" w:name="_Toc26391"/>
      <w:bookmarkStart w:id="1153" w:name="_Toc6201"/>
      <w:bookmarkStart w:id="1154" w:name="_Toc28405"/>
      <w:bookmarkStart w:id="1155" w:name="_Toc31865"/>
      <w:bookmarkStart w:id="1156" w:name="_Toc14311"/>
      <w:bookmarkStart w:id="1157" w:name="_Toc11063"/>
      <w:bookmarkStart w:id="1158" w:name="_Toc11161"/>
      <w:bookmarkStart w:id="1159" w:name="_Toc88078926"/>
      <w:bookmarkStart w:id="1160" w:name="_Toc91769311"/>
      <w:r>
        <w:rPr>
          <w:rFonts w:hint="eastAsia" w:ascii="方正楷体_GBK" w:hAnsi="方正楷体_GBK" w:eastAsia="方正楷体_GBK" w:cs="方正楷体_GBK"/>
          <w:spacing w:val="8"/>
          <w:sz w:val="32"/>
          <w:szCs w:val="32"/>
          <w:lang w:eastAsia="zh-CN"/>
        </w:rPr>
        <w:t>第二节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加强应急救援力量</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Pr>
          <w:rFonts w:hint="eastAsia" w:ascii="方正楷体_GBK" w:hAnsi="方正楷体_GBK" w:eastAsia="方正楷体_GBK" w:cs="方正楷体_GBK"/>
          <w:spacing w:val="8"/>
          <w:sz w:val="32"/>
          <w:szCs w:val="32"/>
        </w:rPr>
        <w:t>建设</w:t>
      </w:r>
      <w:bookmarkEnd w:id="1160"/>
    </w:p>
    <w:p>
      <w:pPr>
        <w:keepNext w:val="0"/>
        <w:keepLines w:val="0"/>
        <w:pageBreakBefore w:val="0"/>
        <w:kinsoku/>
        <w:overflowPunct/>
        <w:topLinePunct/>
        <w:bidi w:val="0"/>
        <w:adjustRightInd w:val="0"/>
        <w:spacing w:line="580" w:lineRule="exact"/>
        <w:ind w:firstLine="664"/>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支持驻区国家综合性消防救援队伍建设。</w:t>
      </w:r>
      <w:r>
        <w:rPr>
          <w:rFonts w:hint="eastAsia" w:ascii="方正仿宋_GBK" w:hAnsi="方正仿宋_GBK" w:eastAsia="方正仿宋_GBK" w:cs="方正仿宋_GBK"/>
          <w:sz w:val="32"/>
          <w:szCs w:val="32"/>
          <w:shd w:val="clear" w:color="auto" w:fill="FFFFFF"/>
        </w:rPr>
        <w:t>支持驻区2支国家综合性消防救援队伍建设和保障工作，提升其在城市安全、道路交通、地震和地质灾害、高空山岳、水域安全、森林草原灭火、有限空间、特种设备等领域的专业救援能力，发挥综合应急救援的主力军作用。</w:t>
      </w:r>
    </w:p>
    <w:p>
      <w:pPr>
        <w:keepNext w:val="0"/>
        <w:keepLines w:val="0"/>
        <w:pageBreakBefore w:val="0"/>
        <w:kinsoku/>
        <w:overflowPunct/>
        <w:topLinePunct/>
        <w:bidi w:val="0"/>
        <w:adjustRightInd w:val="0"/>
        <w:spacing w:after="298" w:afterLines="50" w:line="580" w:lineRule="exact"/>
        <w:ind w:firstLine="664"/>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pacing w:val="8"/>
          <w:sz w:val="32"/>
          <w:szCs w:val="32"/>
        </w:rPr>
        <w:t>加强专业应急救援队伍建设。</w:t>
      </w:r>
      <w:r>
        <w:rPr>
          <w:rFonts w:hint="eastAsia" w:ascii="方正仿宋_GBK" w:hAnsi="方正仿宋_GBK" w:eastAsia="方正仿宋_GBK" w:cs="方正仿宋_GBK"/>
          <w:sz w:val="32"/>
          <w:szCs w:val="32"/>
          <w:shd w:val="clear" w:color="auto" w:fill="FFFFFF"/>
        </w:rPr>
        <w:t>结合地域特点，采取政府引导、市场化运作方式，依托有实力的生产经营单位建设一批专常兼备、反应灵敏、作风过硬、本领高强的自治区级专业应急救援队伍，实现自然灾害类专业应急救援力量基本与灾害频发多发地区相匹配，安全生产类专业应急救援力量基本与高危行业、新兴领域产业分布和发展需要相匹配，充分发挥其应急救援协同作用。加大政策支持力度，改善全区森林草原灭火等专业队伍年龄偏大问题。各盟市、旗县（市、区）结合</w:t>
      </w:r>
      <w:r>
        <w:rPr>
          <w:rFonts w:hint="eastAsia" w:ascii="方正仿宋_GBK" w:hAnsi="方正仿宋_GBK" w:eastAsia="方正仿宋_GBK" w:cs="方正仿宋_GBK"/>
          <w:sz w:val="32"/>
          <w:szCs w:val="32"/>
          <w:shd w:val="clear" w:color="auto" w:fill="FFFFFF"/>
          <w:lang w:eastAsia="zh-CN"/>
        </w:rPr>
        <w:t>实际</w:t>
      </w:r>
      <w:r>
        <w:rPr>
          <w:rFonts w:hint="eastAsia" w:ascii="方正仿宋_GBK" w:hAnsi="方正仿宋_GBK" w:eastAsia="方正仿宋_GBK" w:cs="方正仿宋_GBK"/>
          <w:sz w:val="32"/>
          <w:szCs w:val="32"/>
          <w:shd w:val="clear" w:color="auto" w:fill="FFFFFF"/>
        </w:rPr>
        <w:t>，合理规划建设本地区各类专业应急救援队伍。充分利用已有设施设备，加强队伍间资源共享、信息互通和共训共练。</w:t>
      </w:r>
    </w:p>
    <w:tbl>
      <w:tblPr>
        <w:tblStyle w:val="14"/>
        <w:tblW w:w="895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9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8957" w:type="dxa"/>
            <w:noWrap/>
            <w:vAlign w:val="center"/>
          </w:tcPr>
          <w:p>
            <w:pPr>
              <w:keepNext w:val="0"/>
              <w:keepLines w:val="0"/>
              <w:pageBreakBefore w:val="0"/>
              <w:widowControl w:val="0"/>
              <w:kinsoku/>
              <w:wordWrap/>
              <w:overflowPunct/>
              <w:topLinePunct/>
              <w:autoSpaceDE/>
              <w:autoSpaceDN/>
              <w:bidi w:val="0"/>
              <w:adjustRightInd w:val="0"/>
              <w:snapToGrid/>
              <w:spacing w:before="178" w:beforeLines="30" w:after="178" w:afterLines="30" w:line="400" w:lineRule="exact"/>
              <w:ind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专栏5 专业应急救援队伍建设工程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01" w:hRule="atLeast"/>
        </w:trPr>
        <w:tc>
          <w:tcPr>
            <w:tcW w:w="8957" w:type="dxa"/>
            <w:noWrap/>
            <w:vAlign w:val="center"/>
          </w:tcPr>
          <w:p>
            <w:pPr>
              <w:keepNext w:val="0"/>
              <w:keepLines w:val="0"/>
              <w:pageBreakBefore w:val="0"/>
              <w:widowControl w:val="0"/>
              <w:kinsoku/>
              <w:wordWrap/>
              <w:overflowPunct w:val="0"/>
              <w:topLinePunct w:val="0"/>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1.建设自治区级专业自然灾害类应急救援队伍（14支）</w:t>
            </w:r>
            <w:r>
              <w:rPr>
                <w:rFonts w:hint="eastAsia" w:ascii="方正仿宋_GBK" w:hAnsi="方正仿宋_GBK" w:eastAsia="方正仿宋_GBK" w:cs="方正仿宋_GBK"/>
                <w:sz w:val="28"/>
                <w:szCs w:val="28"/>
                <w:lang w:eastAsia="zh-CN"/>
              </w:rPr>
              <w:t>。</w:t>
            </w:r>
          </w:p>
          <w:p>
            <w:pPr>
              <w:keepNext w:val="0"/>
              <w:keepLines w:val="0"/>
              <w:pageBreakBefore w:val="0"/>
              <w:widowControl w:val="0"/>
              <w:kinsoku/>
              <w:wordWrap/>
              <w:overflowPunct w:val="0"/>
              <w:topLinePunct w:val="0"/>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（1）在呼伦贝尔市建立2支，在呼和浩特市、通辽市、赤峰市、巴彦淖尔市分别建立1支区级森林草原防灭火应急救援队伍。</w:t>
            </w:r>
          </w:p>
          <w:p>
            <w:pPr>
              <w:keepNext w:val="0"/>
              <w:keepLines w:val="0"/>
              <w:pageBreakBefore w:val="0"/>
              <w:widowControl w:val="0"/>
              <w:kinsoku/>
              <w:wordWrap/>
              <w:overflowPunct w:val="0"/>
              <w:topLinePunct w:val="0"/>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（2）在呼伦贝尔市、巴彦淖尔市分别建立1支区级防汛抗旱应急救援队伍。</w:t>
            </w:r>
          </w:p>
          <w:p>
            <w:pPr>
              <w:keepNext w:val="0"/>
              <w:keepLines w:val="0"/>
              <w:pageBreakBefore w:val="0"/>
              <w:widowControl w:val="0"/>
              <w:kinsoku/>
              <w:wordWrap/>
              <w:overflowPunct w:val="0"/>
              <w:topLinePunct w:val="0"/>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（3）在呼和浩特市建立2支，在呼伦贝尔市、赤峰市、鄂尔多斯市、乌海市分别建立1支区级地震地质灾害应急救援队伍。</w:t>
            </w:r>
          </w:p>
          <w:p>
            <w:pPr>
              <w:keepNext w:val="0"/>
              <w:keepLines w:val="0"/>
              <w:pageBreakBefore w:val="0"/>
              <w:widowControl w:val="0"/>
              <w:kinsoku/>
              <w:wordWrap/>
              <w:overflowPunct w:val="0"/>
              <w:topLinePunct w:val="0"/>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2.建设自治区级专业安全生产类应急救援队伍（20支）</w:t>
            </w:r>
            <w:r>
              <w:rPr>
                <w:rFonts w:hint="eastAsia" w:ascii="方正仿宋_GBK" w:hAnsi="方正仿宋_GBK" w:eastAsia="方正仿宋_GBK" w:cs="方正仿宋_GBK"/>
                <w:sz w:val="28"/>
                <w:szCs w:val="28"/>
                <w:lang w:eastAsia="zh-CN"/>
              </w:rPr>
              <w:t>。</w:t>
            </w:r>
          </w:p>
          <w:p>
            <w:pPr>
              <w:keepNext w:val="0"/>
              <w:keepLines w:val="0"/>
              <w:pageBreakBefore w:val="0"/>
              <w:widowControl w:val="0"/>
              <w:kinsoku/>
              <w:wordWrap/>
              <w:overflowPunct w:val="0"/>
              <w:topLinePunct w:val="0"/>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（1）在阿拉善盟、乌海市、鄂尔多斯市、呼和浩特市、乌兰察布市、赤峰市、通辽市分别建立1支区级专业危险化学品应急救援队伍。</w:t>
            </w:r>
          </w:p>
          <w:p>
            <w:pPr>
              <w:keepNext w:val="0"/>
              <w:keepLines w:val="0"/>
              <w:pageBreakBefore w:val="0"/>
              <w:widowControl w:val="0"/>
              <w:kinsoku/>
              <w:wordWrap/>
              <w:overflowPunct w:val="0"/>
              <w:topLinePunct w:val="0"/>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（2）在鄂尔多斯市、乌海市、锡林郭勒盟、赤峰市、呼伦贝尔市分别建立1支区级专业煤矿应急救援队伍。</w:t>
            </w:r>
          </w:p>
          <w:p>
            <w:pPr>
              <w:keepNext w:val="0"/>
              <w:keepLines w:val="0"/>
              <w:pageBreakBefore w:val="0"/>
              <w:widowControl w:val="0"/>
              <w:kinsoku/>
              <w:wordWrap/>
              <w:overflowPunct w:val="0"/>
              <w:topLinePunct w:val="0"/>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（3）在巴彦淖尔市、包头市、锡林郭勒盟、赤峰市、呼伦贝尔市分别建立1支区级专业非煤矿山应急救援队伍。</w:t>
            </w:r>
          </w:p>
          <w:p>
            <w:pPr>
              <w:keepNext w:val="0"/>
              <w:keepLines w:val="0"/>
              <w:pageBreakBefore w:val="0"/>
              <w:widowControl w:val="0"/>
              <w:kinsoku/>
              <w:wordWrap/>
              <w:overflowPunct w:val="0"/>
              <w:topLinePunct w:val="0"/>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（4）在人口密度较大的呼和浩特市、包头市、赤峰市分别建立1支区级专业城市安全应急救援队伍。</w:t>
            </w:r>
          </w:p>
          <w:p>
            <w:pPr>
              <w:keepNext w:val="0"/>
              <w:keepLines w:val="0"/>
              <w:pageBreakBefore w:val="0"/>
              <w:widowControl w:val="0"/>
              <w:kinsoku/>
              <w:wordWrap/>
              <w:overflowPunct w:val="0"/>
              <w:topLinePunct w:val="0"/>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3.建设自治区级车载化紧急医学救援队伍（3支）</w:t>
            </w:r>
            <w:r>
              <w:rPr>
                <w:rFonts w:hint="eastAsia" w:ascii="方正仿宋_GBK" w:hAnsi="方正仿宋_GBK" w:eastAsia="方正仿宋_GBK" w:cs="方正仿宋_GBK"/>
                <w:sz w:val="28"/>
                <w:szCs w:val="28"/>
                <w:lang w:eastAsia="zh-CN"/>
              </w:rPr>
              <w:t>。</w:t>
            </w:r>
          </w:p>
          <w:p>
            <w:pPr>
              <w:keepNext w:val="0"/>
              <w:keepLines w:val="0"/>
              <w:pageBreakBefore w:val="0"/>
              <w:widowControl w:val="0"/>
              <w:kinsoku/>
              <w:wordWrap/>
              <w:overflowPunct w:val="0"/>
              <w:topLinePunct w:val="0"/>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28"/>
                <w:szCs w:val="28"/>
              </w:rPr>
              <w:t>在东、中、西部分别建立1支自治区级车载化紧急医学救援队伍，加大队伍装备设施建设，实现队伍装备功能集成化，有效开展各类突发事件现场紧急医学救援。</w:t>
            </w:r>
          </w:p>
        </w:tc>
      </w:tr>
    </w:tbl>
    <w:p>
      <w:pPr>
        <w:keepNext w:val="0"/>
        <w:keepLines w:val="0"/>
        <w:pageBreakBefore w:val="0"/>
        <w:kinsoku/>
        <w:overflowPunct/>
        <w:topLinePunct/>
        <w:bidi w:val="0"/>
        <w:adjustRightInd w:val="0"/>
        <w:spacing w:before="298" w:beforeLines="50" w:after="298" w:afterLines="50" w:line="580" w:lineRule="exact"/>
        <w:ind w:firstLine="664"/>
        <w:rPr>
          <w:rFonts w:hint="eastAsia" w:ascii="方正仿宋_GBK" w:hAnsi="方正仿宋_GBK" w:eastAsia="方正仿宋_GBK" w:cs="方正仿宋_GBK"/>
          <w:sz w:val="32"/>
          <w:szCs w:val="32"/>
          <w:shd w:val="clear" w:color="auto" w:fill="FFFFFF"/>
        </w:rPr>
      </w:pPr>
      <w:bookmarkStart w:id="1161" w:name="_Hlk88502665"/>
      <w:bookmarkStart w:id="1162" w:name="_Toc3726"/>
      <w:bookmarkStart w:id="1163" w:name="_Toc5789"/>
      <w:bookmarkStart w:id="1164" w:name="_Toc24256"/>
      <w:bookmarkStart w:id="1165" w:name="_Toc5264"/>
      <w:bookmarkStart w:id="1166" w:name="_Toc21879"/>
      <w:bookmarkStart w:id="1167" w:name="_Toc27620"/>
      <w:bookmarkStart w:id="1168" w:name="_Toc31749"/>
      <w:bookmarkStart w:id="1169" w:name="_Toc2784"/>
      <w:bookmarkStart w:id="1170" w:name="_Toc20312"/>
      <w:bookmarkStart w:id="1171" w:name="_Toc20002"/>
      <w:bookmarkStart w:id="1172" w:name="_Toc12994"/>
      <w:bookmarkStart w:id="1173" w:name="_Toc16272"/>
      <w:bookmarkStart w:id="1174" w:name="_Toc17007"/>
      <w:r>
        <w:rPr>
          <w:rFonts w:hint="eastAsia" w:ascii="方正仿宋_GBK" w:hAnsi="方正仿宋_GBK" w:eastAsia="方正仿宋_GBK" w:cs="方正仿宋_GBK"/>
          <w:spacing w:val="8"/>
          <w:sz w:val="32"/>
          <w:szCs w:val="32"/>
        </w:rPr>
        <w:t>加快应急救援航空力量建设</w:t>
      </w:r>
      <w:bookmarkEnd w:id="1161"/>
      <w:r>
        <w:rPr>
          <w:rFonts w:hint="eastAsia" w:ascii="方正仿宋_GBK" w:hAnsi="方正仿宋_GBK" w:eastAsia="方正仿宋_GBK" w:cs="方正仿宋_GBK"/>
          <w:spacing w:val="8"/>
          <w:sz w:val="32"/>
          <w:szCs w:val="32"/>
        </w:rPr>
        <w:t>。</w:t>
      </w:r>
      <w:r>
        <w:rPr>
          <w:rFonts w:hint="eastAsia" w:ascii="方正仿宋_GBK" w:hAnsi="方正仿宋_GBK" w:eastAsia="方正仿宋_GBK" w:cs="方正仿宋_GBK"/>
          <w:sz w:val="32"/>
          <w:szCs w:val="32"/>
          <w:shd w:val="clear" w:color="auto" w:fill="FFFFFF"/>
        </w:rPr>
        <w:t>采取直接投资、购买服务等多种方式，完善航空应急场站布局，加快构建覆盖灾害事故易发多发地区的2小时应急救援航空网络，大幅提升应急救援和突发事件应对能力。健全应急救援航空体系，丰富航空飞机机型，增加航空飞机数量，实现森林草原防灭火重点区域基本覆盖。完善应急救援航空空域保障机制和航空器跨区域救援协调机制。</w:t>
      </w:r>
    </w:p>
    <w:tbl>
      <w:tblPr>
        <w:tblStyle w:val="14"/>
        <w:tblW w:w="88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8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454" w:hRule="atLeast"/>
        </w:trPr>
        <w:tc>
          <w:tcPr>
            <w:tcW w:w="8855" w:type="dxa"/>
            <w:noWrap/>
            <w:vAlign w:val="center"/>
          </w:tcPr>
          <w:p>
            <w:pPr>
              <w:keepNext w:val="0"/>
              <w:keepLines w:val="0"/>
              <w:pageBreakBefore w:val="0"/>
              <w:widowControl w:val="0"/>
              <w:kinsoku/>
              <w:wordWrap/>
              <w:overflowPunct w:val="0"/>
              <w:topLinePunct w:val="0"/>
              <w:autoSpaceDE/>
              <w:autoSpaceDN/>
              <w:bidi w:val="0"/>
              <w:adjustRightInd w:val="0"/>
              <w:snapToGrid/>
              <w:spacing w:before="178" w:beforeLines="30" w:after="178" w:afterLines="30" w:line="400" w:lineRule="exact"/>
              <w:ind w:left="0" w:leftChars="0"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28"/>
                <w:szCs w:val="28"/>
              </w:rPr>
              <w:t>专栏6 应急救援航空能力建设工程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418" w:hRule="atLeast"/>
        </w:trPr>
        <w:tc>
          <w:tcPr>
            <w:tcW w:w="8855" w:type="dxa"/>
            <w:noWrap/>
            <w:vAlign w:val="center"/>
          </w:tcPr>
          <w:p>
            <w:pPr>
              <w:keepNext w:val="0"/>
              <w:keepLines w:val="0"/>
              <w:pageBreakBefore w:val="0"/>
              <w:widowControl w:val="0"/>
              <w:kinsoku/>
              <w:wordWrap/>
              <w:overflowPunct w:val="0"/>
              <w:topLinePunct w:val="0"/>
              <w:autoSpaceDE/>
              <w:autoSpaceDN/>
              <w:bidi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1.航站建设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升级改造航站5个，新建航站4个；完善移动航站建设3个，新建移动航站5个。</w:t>
            </w:r>
          </w:p>
          <w:p>
            <w:pPr>
              <w:keepNext w:val="0"/>
              <w:keepLines w:val="0"/>
              <w:pageBreakBefore w:val="0"/>
              <w:widowControl w:val="0"/>
              <w:kinsoku/>
              <w:wordWrap/>
              <w:overflowPunct w:val="0"/>
              <w:topLinePunct w:val="0"/>
              <w:autoSpaceDE/>
              <w:autoSpaceDN/>
              <w:bidi w:val="0"/>
              <w:snapToGrid/>
              <w:spacing w:line="400" w:lineRule="exact"/>
              <w:ind w:firstLine="56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2.配套设施</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新建无人机系统9套；建设临时机降点50处，取水水源地30处；引接应急管理部应急救援航空调度管理系统，纳入自治区应急救援指挥平台建设。</w:t>
            </w:r>
          </w:p>
        </w:tc>
      </w:tr>
    </w:tbl>
    <w:p>
      <w:pPr>
        <w:keepNext w:val="0"/>
        <w:keepLines w:val="0"/>
        <w:pageBreakBefore w:val="0"/>
        <w:tabs>
          <w:tab w:val="left" w:pos="142"/>
        </w:tabs>
        <w:kinsoku/>
        <w:overflowPunct/>
        <w:topLinePunct/>
        <w:bidi w:val="0"/>
        <w:spacing w:before="298" w:beforeLines="50" w:after="298" w:afterLines="50" w:line="580" w:lineRule="exact"/>
        <w:ind w:firstLine="664"/>
        <w:rPr>
          <w:rFonts w:hint="eastAsia" w:ascii="方正仿宋_GBK" w:hAnsi="方正仿宋_GBK" w:eastAsia="方正仿宋_GBK" w:cs="方正仿宋_GBK"/>
          <w:spacing w:val="8"/>
          <w:sz w:val="32"/>
          <w:szCs w:val="32"/>
        </w:rPr>
      </w:pPr>
      <w:bookmarkStart w:id="1175" w:name="_Hlk88502707"/>
      <w:r>
        <w:rPr>
          <w:rFonts w:hint="eastAsia" w:ascii="方正仿宋_GBK" w:hAnsi="方正仿宋_GBK" w:eastAsia="方正仿宋_GBK" w:cs="方正仿宋_GBK"/>
          <w:spacing w:val="8"/>
          <w:sz w:val="32"/>
          <w:szCs w:val="32"/>
        </w:rPr>
        <w:t>推进应急救援综合基地建设</w:t>
      </w:r>
      <w:bookmarkEnd w:id="1175"/>
      <w:r>
        <w:rPr>
          <w:rFonts w:hint="eastAsia" w:ascii="方正仿宋_GBK" w:hAnsi="方正仿宋_GBK" w:eastAsia="方正仿宋_GBK" w:cs="方正仿宋_GBK"/>
          <w:spacing w:val="8"/>
          <w:sz w:val="32"/>
          <w:szCs w:val="32"/>
        </w:rPr>
        <w:t>。</w:t>
      </w:r>
      <w:r>
        <w:rPr>
          <w:rFonts w:hint="eastAsia" w:ascii="方正仿宋_GBK" w:hAnsi="方正仿宋_GBK" w:eastAsia="方正仿宋_GBK" w:cs="方正仿宋_GBK"/>
          <w:spacing w:val="8"/>
          <w:kern w:val="0"/>
          <w:sz w:val="32"/>
          <w:szCs w:val="32"/>
        </w:rPr>
        <w:t>将各级应急救援保障基地、训练基地、紧急医学救援基地作为应急救援能力建设补短板项目，依托有实力的大型国有企业或国有控股企业，建设自治区应急救援指挥中心、区域应急救援基地、应急救援装备研发生产储备基地和紧急医学救援基地，实现应急救援队伍、装备、培训、物资以及医疗救治等资源共建共用，大幅提升应急救援能力。</w:t>
      </w:r>
    </w:p>
    <w:tbl>
      <w:tblPr>
        <w:tblStyle w:val="14"/>
        <w:tblW w:w="897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89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454" w:hRule="atLeast"/>
        </w:trPr>
        <w:tc>
          <w:tcPr>
            <w:tcW w:w="8972" w:type="dxa"/>
            <w:noWrap/>
            <w:vAlign w:val="center"/>
          </w:tcPr>
          <w:p>
            <w:pPr>
              <w:keepNext w:val="0"/>
              <w:keepLines w:val="0"/>
              <w:pageBreakBefore w:val="0"/>
              <w:widowControl w:val="0"/>
              <w:kinsoku/>
              <w:wordWrap/>
              <w:overflowPunct w:val="0"/>
              <w:topLinePunct w:val="0"/>
              <w:autoSpaceDE/>
              <w:autoSpaceDN/>
              <w:bidi w:val="0"/>
              <w:adjustRightInd w:val="0"/>
              <w:snapToGrid/>
              <w:spacing w:before="178" w:beforeLines="30" w:after="178" w:afterLines="30" w:line="400" w:lineRule="exact"/>
              <w:ind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专栏7 自治区应急救援综合基地建设工程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456" w:hRule="atLeast"/>
        </w:trPr>
        <w:tc>
          <w:tcPr>
            <w:tcW w:w="8972" w:type="dxa"/>
            <w:noWrap/>
            <w:vAlign w:val="center"/>
          </w:tcPr>
          <w:p>
            <w:pPr>
              <w:keepNext w:val="0"/>
              <w:keepLines w:val="0"/>
              <w:pageBreakBefore w:val="0"/>
              <w:widowControl w:val="0"/>
              <w:kinsoku/>
              <w:wordWrap/>
              <w:overflowPunct w:val="0"/>
              <w:topLinePunct w:val="0"/>
              <w:autoSpaceDE/>
              <w:autoSpaceDN/>
              <w:bidi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1.自治区应急救援指挥中心</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参照应急管理部指挥中心定位要求，依托已有基础设施、信息化基础，在呼和浩特市建设应急救援指挥中心，指导全区区域应急救援基地工作，支撑应急常态下日常安全监测、管理控制和非常态下的动态监测、指挥调度、协同救援等关键业务。</w:t>
            </w:r>
          </w:p>
          <w:p>
            <w:pPr>
              <w:keepNext w:val="0"/>
              <w:keepLines w:val="0"/>
              <w:pageBreakBefore w:val="0"/>
              <w:widowControl w:val="0"/>
              <w:kinsoku/>
              <w:wordWrap/>
              <w:overflowPunct w:val="0"/>
              <w:topLinePunct w:val="0"/>
              <w:autoSpaceDE/>
              <w:autoSpaceDN/>
              <w:bidi w:val="0"/>
              <w:snapToGrid/>
              <w:spacing w:line="4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2.自治区区域应急救援基地</w:t>
            </w:r>
            <w:r>
              <w:rPr>
                <w:rFonts w:hint="eastAsia" w:ascii="方正仿宋_GBK" w:hAnsi="方正仿宋_GBK" w:eastAsia="方正仿宋_GBK" w:cs="方正仿宋_GBK"/>
                <w:sz w:val="28"/>
                <w:szCs w:val="28"/>
                <w:lang w:eastAsia="zh-CN"/>
              </w:rPr>
              <w:t>。</w:t>
            </w:r>
          </w:p>
          <w:p>
            <w:pPr>
              <w:keepNext w:val="0"/>
              <w:keepLines w:val="0"/>
              <w:pageBreakBefore w:val="0"/>
              <w:widowControl w:val="0"/>
              <w:kinsoku/>
              <w:wordWrap/>
              <w:overflowPunct w:val="0"/>
              <w:topLinePunct w:val="0"/>
              <w:autoSpaceDE/>
              <w:autoSpaceDN/>
              <w:bidi w:val="0"/>
              <w:snapToGrid/>
              <w:spacing w:line="400" w:lineRule="exact"/>
              <w:ind w:left="0" w:leftChars="0" w:firstLine="478" w:firstLineChars="17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（1）在乌海市建立自治区危险化学品应急救援基地：主要依托神华乌海能源集团有限责任公司组建，主要承担西部地区危险化学品事故的应急救援任务，同时兼顾洪涝、地震、雪灾等其他灾害事故的救援任务。</w:t>
            </w:r>
          </w:p>
          <w:p>
            <w:pPr>
              <w:keepNext w:val="0"/>
              <w:keepLines w:val="0"/>
              <w:pageBreakBefore w:val="0"/>
              <w:widowControl w:val="0"/>
              <w:kinsoku/>
              <w:wordWrap/>
              <w:overflowPunct w:val="0"/>
              <w:topLinePunct w:val="0"/>
              <w:autoSpaceDE/>
              <w:autoSpaceDN/>
              <w:bidi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（2）在赤峰市建立自治区矿山应急救援基地：主要依托国家能源平煤集团公司组建，主要承担中部地区矿山事故的应急救援任务，同时兼顾洪涝、地震、雪灾等其他灾害事故的救援任务。</w:t>
            </w:r>
          </w:p>
          <w:p>
            <w:pPr>
              <w:keepNext w:val="0"/>
              <w:keepLines w:val="0"/>
              <w:pageBreakBefore w:val="0"/>
              <w:widowControl w:val="0"/>
              <w:kinsoku/>
              <w:wordWrap/>
              <w:overflowPunct w:val="0"/>
              <w:topLinePunct w:val="0"/>
              <w:autoSpaceDE/>
              <w:autoSpaceDN/>
              <w:bidi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在呼伦贝尔市建立自治区森林草原防灭火和应急救援航空基地：主要依托呼伦贝尔市森林草原防灭火专业队伍组建，承担东部地区森林草原火灾的应急救援任务，同时兼顾洪涝、地震、雪灾等其他灾害事故的救援任务。</w:t>
            </w:r>
          </w:p>
          <w:p>
            <w:pPr>
              <w:keepNext w:val="0"/>
              <w:keepLines w:val="0"/>
              <w:pageBreakBefore w:val="0"/>
              <w:widowControl w:val="0"/>
              <w:kinsoku/>
              <w:wordWrap/>
              <w:overflowPunct w:val="0"/>
              <w:topLinePunct w:val="0"/>
              <w:autoSpaceDE/>
              <w:autoSpaceDN/>
              <w:bidi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3.自治区应急救援装备研发生产储备基地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在包头市，主要依托内蒙古第一机械集团有限公司组建，承担研发自然灾害类、安全生产类应急救援高端、大型、适用的装备设备，提升全区处置灾害事故装备水平和救援能力，同时拓展具备应急救援装备物资储备、应急救援装备技术培训、应急救援技能实训、应急装备维护、应急安全知识体验馆等功能。</w:t>
            </w:r>
          </w:p>
          <w:p>
            <w:pPr>
              <w:keepNext w:val="0"/>
              <w:keepLines w:val="0"/>
              <w:pageBreakBefore w:val="0"/>
              <w:widowControl w:val="0"/>
              <w:kinsoku/>
              <w:wordWrap/>
              <w:overflowPunct w:val="0"/>
              <w:topLinePunct w:val="0"/>
              <w:autoSpaceDE/>
              <w:autoSpaceDN/>
              <w:bidi w:val="0"/>
              <w:snapToGrid/>
              <w:spacing w:line="400" w:lineRule="exact"/>
              <w:ind w:firstLine="56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4.自治区紧急医学救援基地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依托东部和西部地区三级综合医院，分别建立1个自治区级紧急医学救援基地。建设采用“平战结合”的方式，重点加强灾害模拟场景构建和专业教育、培训演练基础设施建设，批量重症伤员收治的基础设施、医疗救援信息联通和指挥设备条件、医疗救援队伍装备等建设，推进紧急医学救援产、学、研、用基础设施建设。</w:t>
            </w:r>
          </w:p>
        </w:tc>
      </w:tr>
      <w:bookmarkEnd w:id="1162"/>
      <w:bookmarkEnd w:id="1163"/>
      <w:bookmarkEnd w:id="1164"/>
      <w:bookmarkEnd w:id="1165"/>
      <w:bookmarkEnd w:id="1166"/>
      <w:bookmarkEnd w:id="1167"/>
      <w:bookmarkEnd w:id="1168"/>
      <w:bookmarkEnd w:id="1169"/>
      <w:bookmarkEnd w:id="1170"/>
      <w:bookmarkEnd w:id="1171"/>
      <w:bookmarkEnd w:id="1172"/>
      <w:bookmarkEnd w:id="1173"/>
      <w:bookmarkEnd w:id="1174"/>
    </w:tbl>
    <w:p>
      <w:pPr>
        <w:keepNext w:val="0"/>
        <w:keepLines w:val="0"/>
        <w:pageBreakBefore w:val="0"/>
        <w:kinsoku/>
        <w:overflowPunct/>
        <w:topLinePunct/>
        <w:bidi w:val="0"/>
        <w:adjustRightInd w:val="0"/>
        <w:spacing w:before="298" w:beforeLines="50" w:after="298" w:afterLines="50" w:line="580" w:lineRule="exact"/>
        <w:ind w:firstLine="664"/>
        <w:rPr>
          <w:rFonts w:hint="eastAsia" w:ascii="方正仿宋_GBK" w:hAnsi="方正仿宋_GBK" w:eastAsia="方正仿宋_GBK" w:cs="方正仿宋_GBK"/>
          <w:sz w:val="32"/>
          <w:szCs w:val="32"/>
          <w:shd w:val="clear" w:color="auto" w:fill="FFFFFF"/>
        </w:rPr>
      </w:pPr>
      <w:bookmarkStart w:id="1176" w:name="_Hlk88503137"/>
      <w:r>
        <w:rPr>
          <w:rFonts w:hint="eastAsia" w:ascii="方正仿宋_GBK" w:hAnsi="方正仿宋_GBK" w:eastAsia="方正仿宋_GBK" w:cs="方正仿宋_GBK"/>
          <w:spacing w:val="8"/>
          <w:sz w:val="32"/>
          <w:szCs w:val="32"/>
        </w:rPr>
        <w:t>提高应急救援装备水平</w:t>
      </w:r>
      <w:bookmarkEnd w:id="1176"/>
      <w:r>
        <w:rPr>
          <w:rFonts w:hint="eastAsia" w:ascii="方正仿宋_GBK" w:hAnsi="方正仿宋_GBK" w:eastAsia="方正仿宋_GBK" w:cs="方正仿宋_GBK"/>
          <w:spacing w:val="8"/>
          <w:sz w:val="32"/>
          <w:szCs w:val="32"/>
        </w:rPr>
        <w:t>。</w:t>
      </w:r>
      <w:r>
        <w:rPr>
          <w:rFonts w:hint="eastAsia" w:ascii="方正仿宋_GBK" w:hAnsi="方正仿宋_GBK" w:eastAsia="方正仿宋_GBK" w:cs="方正仿宋_GBK"/>
          <w:sz w:val="32"/>
          <w:szCs w:val="32"/>
          <w:shd w:val="clear" w:color="auto" w:fill="FFFFFF"/>
        </w:rPr>
        <w:t>制定出台自治区应急管理和安全生产执法车辆保障配备标准，配齐配强应急救援专业队伍装备。加强全区防汛抗旱保障能力建设，加大防汛抗旱装备资金投入。强</w:t>
      </w:r>
      <w:r>
        <w:rPr>
          <w:rFonts w:hint="eastAsia" w:ascii="方正仿宋_GBK" w:hAnsi="方正仿宋_GBK" w:eastAsia="方正仿宋_GBK" w:cs="方正仿宋_GBK"/>
          <w:sz w:val="32"/>
          <w:szCs w:val="32"/>
          <w:shd w:val="clear" w:color="auto" w:fill="FFFFFF"/>
          <w:lang w:eastAsia="zh-CN"/>
        </w:rPr>
        <w:t>化</w:t>
      </w:r>
      <w:r>
        <w:rPr>
          <w:rFonts w:hint="eastAsia" w:ascii="方正仿宋_GBK" w:hAnsi="方正仿宋_GBK" w:eastAsia="方正仿宋_GBK" w:cs="方正仿宋_GBK"/>
          <w:sz w:val="32"/>
          <w:szCs w:val="32"/>
          <w:shd w:val="clear" w:color="auto" w:fill="FFFFFF"/>
        </w:rPr>
        <w:t>森林草原防灭火应急能力建设，加强对专业队伍装备、物资及机具的配备。加强全区地震和地质灾害应急救援能力建设，加大救援及训练专业装备投入，提升基层装备配备能力水平。针对高层建筑、地下空间和轨道交通、大型综合体、石油石化、化学储能、氢能等特殊火灾扑救及消防勤务需要，重点加强灭火攻坚装备配备。提升消防站救援装备配备水平，开展消防救援装备达标建设。</w:t>
      </w:r>
    </w:p>
    <w:tbl>
      <w:tblPr>
        <w:tblStyle w:val="14"/>
        <w:tblW w:w="8865"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290" w:hRule="atLeast"/>
        </w:trPr>
        <w:tc>
          <w:tcPr>
            <w:tcW w:w="8865" w:type="dxa"/>
            <w:noWrap/>
            <w:vAlign w:val="center"/>
          </w:tcPr>
          <w:p>
            <w:pPr>
              <w:keepNext w:val="0"/>
              <w:keepLines w:val="0"/>
              <w:pageBreakBefore w:val="0"/>
              <w:widowControl w:val="0"/>
              <w:kinsoku/>
              <w:wordWrap/>
              <w:overflowPunct/>
              <w:topLinePunct/>
              <w:autoSpaceDE/>
              <w:autoSpaceDN/>
              <w:bidi w:val="0"/>
              <w:adjustRightInd w:val="0"/>
              <w:snapToGrid/>
              <w:spacing w:before="178" w:beforeLines="30" w:after="178" w:afterLines="30" w:line="400" w:lineRule="exact"/>
              <w:ind w:left="0" w:leftChars="0"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专栏8 应急救援装备建设工程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410" w:hRule="atLeast"/>
        </w:trPr>
        <w:tc>
          <w:tcPr>
            <w:tcW w:w="8865" w:type="dxa"/>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1.森林草原防灭火</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加大森林草原防灭火装备建设项目实施力度，按照系列化、标准化、配套化要求，加强防灭火机具、物资装备配备，加强队伍营房、大型机械设备建设和防灭火技术研究与应用。</w:t>
            </w:r>
          </w:p>
          <w:p>
            <w:pPr>
              <w:keepNext w:val="0"/>
              <w:keepLines w:val="0"/>
              <w:pageBreakBefore w:val="0"/>
              <w:widowControl w:val="0"/>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pacing w:val="6"/>
                <w:sz w:val="28"/>
                <w:szCs w:val="28"/>
              </w:rPr>
              <w:t>防凌防汛抗旱</w:t>
            </w:r>
            <w:r>
              <w:rPr>
                <w:rFonts w:hint="eastAsia" w:ascii="方正仿宋_GBK" w:hAnsi="方正仿宋_GBK" w:eastAsia="方正仿宋_GBK" w:cs="方正仿宋_GBK"/>
                <w:spacing w:val="6"/>
                <w:sz w:val="28"/>
                <w:szCs w:val="28"/>
                <w:lang w:eastAsia="zh-CN"/>
              </w:rPr>
              <w:t>。</w:t>
            </w:r>
            <w:r>
              <w:rPr>
                <w:rFonts w:hint="eastAsia" w:ascii="方正仿宋_GBK" w:hAnsi="方正仿宋_GBK" w:eastAsia="方正仿宋_GBK" w:cs="方正仿宋_GBK"/>
                <w:spacing w:val="6"/>
                <w:sz w:val="28"/>
                <w:szCs w:val="28"/>
              </w:rPr>
              <w:t>实施自治区级防汛抗旱物资储备项目，购置防汛抗旱相关物资，满足防汛抗旱应急需要。加强基层装备配备能力和指挥系统建设，配备卫星电话、无人机、喷射防汛救生艇，以提升各级防指防凌防汛抗旱抢险应急能力。推进基层抗旱物资器材保障项目，采购抗旱器材装备。</w:t>
            </w:r>
          </w:p>
          <w:p>
            <w:pPr>
              <w:keepNext w:val="0"/>
              <w:keepLines w:val="0"/>
              <w:pageBreakBefore w:val="0"/>
              <w:widowControl w:val="0"/>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3.地震和地质灾害</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按照先重点地区、后一般地区的顺序，为103个旗县（市、区）配备地震和地质灾害救援所需的侦查、搜寻、破拆、支撑和通信5大类应急救援专业装备。</w:t>
            </w:r>
          </w:p>
        </w:tc>
      </w:tr>
    </w:tbl>
    <w:p>
      <w:pPr>
        <w:keepNext w:val="0"/>
        <w:keepLines w:val="0"/>
        <w:pageBreakBefore w:val="0"/>
        <w:kinsoku/>
        <w:overflowPunct/>
        <w:topLinePunct/>
        <w:bidi w:val="0"/>
        <w:spacing w:before="298" w:beforeLines="50"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规范社会救援力量建设。</w:t>
      </w:r>
      <w:r>
        <w:rPr>
          <w:rFonts w:hint="eastAsia" w:ascii="方正仿宋_GBK" w:hAnsi="方正仿宋_GBK" w:eastAsia="方正仿宋_GBK" w:cs="方正仿宋_GBK"/>
          <w:sz w:val="32"/>
          <w:szCs w:val="32"/>
        </w:rPr>
        <w:t>依法对符合条件的社会救援组织进行双重主管登记管理，加强对社会应急救援力量的工作指导和支持，通过业务培训、联合演练、物资捐赠等方式，规范社会救援力量建设，提升社会应急力量救援能力。</w:t>
      </w:r>
    </w:p>
    <w:p>
      <w:pPr>
        <w:keepNext w:val="0"/>
        <w:keepLines w:val="0"/>
        <w:pageBreakBefore w:val="0"/>
        <w:kinsoku/>
        <w:overflowPunct/>
        <w:topLinePunct/>
        <w:bidi w:val="0"/>
        <w:adjustRightInd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177" w:name="_Toc10403"/>
      <w:bookmarkStart w:id="1178" w:name="_Toc1680"/>
      <w:bookmarkStart w:id="1179" w:name="_Toc11121"/>
      <w:bookmarkStart w:id="1180" w:name="_Toc14371"/>
      <w:bookmarkStart w:id="1181" w:name="_Toc18747"/>
      <w:bookmarkStart w:id="1182" w:name="_Toc17617"/>
      <w:bookmarkStart w:id="1183" w:name="_Toc13570"/>
      <w:bookmarkStart w:id="1184" w:name="_Toc6891"/>
      <w:bookmarkStart w:id="1185" w:name="_Toc2812"/>
      <w:bookmarkStart w:id="1186" w:name="_Toc2983"/>
      <w:bookmarkStart w:id="1187" w:name="_Toc27004"/>
      <w:bookmarkStart w:id="1188" w:name="_Toc1719"/>
      <w:bookmarkStart w:id="1189" w:name="_Toc25587"/>
      <w:bookmarkStart w:id="1190" w:name="_Toc91769312"/>
      <w:bookmarkStart w:id="1191" w:name="_Toc11932"/>
      <w:bookmarkStart w:id="1192" w:name="_Toc215"/>
      <w:bookmarkStart w:id="1193" w:name="_Toc23066"/>
      <w:bookmarkStart w:id="1194" w:name="_Toc29718"/>
      <w:bookmarkStart w:id="1195" w:name="_Toc5230"/>
      <w:bookmarkStart w:id="1196" w:name="_Toc16591"/>
      <w:bookmarkStart w:id="1197" w:name="_Toc30955"/>
      <w:bookmarkStart w:id="1198" w:name="_Toc26317"/>
      <w:bookmarkStart w:id="1199" w:name="_Toc88078927"/>
      <w:bookmarkStart w:id="1200" w:name="_Toc7698"/>
      <w:bookmarkStart w:id="1201" w:name="_Toc18602"/>
      <w:bookmarkStart w:id="1202" w:name="_Toc16245"/>
      <w:bookmarkStart w:id="1203" w:name="_Toc10683"/>
      <w:bookmarkStart w:id="1204" w:name="_Toc21472"/>
      <w:bookmarkStart w:id="1205" w:name="_Toc87346250"/>
      <w:bookmarkStart w:id="1206" w:name="_Toc32078"/>
      <w:bookmarkStart w:id="1207" w:name="_Toc28261"/>
      <w:bookmarkStart w:id="1208" w:name="_Toc4676"/>
      <w:bookmarkStart w:id="1209" w:name="_Toc16193"/>
      <w:bookmarkStart w:id="1210" w:name="_Toc20683"/>
      <w:bookmarkStart w:id="1211" w:name="_Toc445"/>
      <w:r>
        <w:rPr>
          <w:rFonts w:hint="eastAsia" w:ascii="方正楷体_GBK" w:hAnsi="方正楷体_GBK" w:eastAsia="方正楷体_GBK" w:cs="方正楷体_GBK"/>
          <w:spacing w:val="8"/>
          <w:sz w:val="32"/>
          <w:szCs w:val="32"/>
          <w:lang w:eastAsia="zh-CN"/>
        </w:rPr>
        <w:t>第三节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加强应急救援综合保障</w:t>
      </w:r>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pPr>
        <w:keepNext w:val="0"/>
        <w:keepLines w:val="0"/>
        <w:pageBreakBefore w:val="0"/>
        <w:shd w:val="clear" w:color="auto" w:fill="FFFFFF"/>
        <w:kinsoku/>
        <w:overflowPunct/>
        <w:topLinePunct/>
        <w:bidi w:val="0"/>
        <w:adjustRightInd w:val="0"/>
        <w:spacing w:after="298" w:afterLines="50"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加强应急物资保障。</w:t>
      </w:r>
      <w:r>
        <w:rPr>
          <w:rFonts w:hint="eastAsia" w:ascii="方正仿宋_GBK" w:hAnsi="方正仿宋_GBK" w:eastAsia="方正仿宋_GBK" w:cs="方正仿宋_GBK"/>
          <w:sz w:val="32"/>
          <w:szCs w:val="32"/>
        </w:rPr>
        <w:t>坚持中央储备和地方储备相结合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实物储备和产能储备相结合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国家储备和企业商业储备相结合，</w:t>
      </w:r>
      <w:r>
        <w:rPr>
          <w:rFonts w:hint="eastAsia" w:ascii="方正仿宋_GBK" w:hAnsi="方正仿宋_GBK" w:eastAsia="方正仿宋_GBK" w:cs="方正仿宋_GBK"/>
          <w:sz w:val="32"/>
          <w:szCs w:val="32"/>
          <w:lang w:eastAsia="zh-CN"/>
        </w:rPr>
        <w:t>做</w:t>
      </w:r>
      <w:r>
        <w:rPr>
          <w:rFonts w:hint="eastAsia" w:ascii="方正仿宋_GBK" w:hAnsi="方正仿宋_GBK" w:eastAsia="方正仿宋_GBK" w:cs="方正仿宋_GBK"/>
          <w:sz w:val="32"/>
          <w:szCs w:val="32"/>
        </w:rPr>
        <w:t>好军民融合储备，形成四级应急物资储备网络体系，实现全区储备库统筹利用。充分利用市场机制，支持政企共建或委托企业代建应急物资储备库。提高应急物资存储、调度、运输、分配、使用、回收、轮换等环节的规范化、程序化、便捷化管理能力。建立完善特需物资储备制度及重大活动举办地应急储备制度；完善应急处置期间紧急政府采购制度，优化紧急采购流程。优化重要物资产能保障和区域分布，制定全区应急物资产能储备目录清单，分类分级落实储备责任。加强生产能力动态监控，掌握重要物资企业供应链分布，提升物资产能保障。</w:t>
      </w:r>
    </w:p>
    <w:tbl>
      <w:tblPr>
        <w:tblStyle w:val="14"/>
        <w:tblW w:w="887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88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454" w:hRule="atLeast"/>
        </w:trPr>
        <w:tc>
          <w:tcPr>
            <w:tcW w:w="8878" w:type="dxa"/>
            <w:noWrap/>
            <w:vAlign w:val="center"/>
          </w:tcPr>
          <w:p>
            <w:pPr>
              <w:keepNext w:val="0"/>
              <w:keepLines w:val="0"/>
              <w:pageBreakBefore w:val="0"/>
              <w:widowControl w:val="0"/>
              <w:kinsoku/>
              <w:wordWrap/>
              <w:overflowPunct/>
              <w:topLinePunct/>
              <w:autoSpaceDE/>
              <w:autoSpaceDN/>
              <w:bidi w:val="0"/>
              <w:adjustRightInd w:val="0"/>
              <w:snapToGrid/>
              <w:spacing w:before="178" w:beforeLines="30" w:after="178" w:afterLines="30" w:line="400" w:lineRule="exact"/>
              <w:ind w:left="0" w:leftChars="0"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专栏9 应急物资储备库建设工程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1120" w:hRule="atLeast"/>
        </w:trPr>
        <w:tc>
          <w:tcPr>
            <w:tcW w:w="8878" w:type="dxa"/>
            <w:noWrap/>
            <w:vAlign w:val="center"/>
          </w:tcPr>
          <w:p>
            <w:pPr>
              <w:keepNext w:val="0"/>
              <w:keepLines w:val="0"/>
              <w:pageBreakBefore w:val="0"/>
              <w:widowControl w:val="0"/>
              <w:kinsoku/>
              <w:wordWrap/>
              <w:overflowPunct/>
              <w:topLinePunct/>
              <w:autoSpaceDE/>
              <w:autoSpaceDN/>
              <w:bidi w:val="0"/>
              <w:adjustRightInd w:val="0"/>
              <w:snapToGrid/>
              <w:spacing w:line="400" w:lineRule="exact"/>
              <w:ind w:firstLine="56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按照森林草原火灾、水旱灾害、地震和地质灾害等自然灾害防治和突发事件救援工作所需物资、装备器材等专业性应急物资储备要求，支持基层应急物资储备库建设，统筹应急物资储备库管理工作，构建“自治区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盟市</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旗县（市、区）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苏木乡镇（街道）”四级应急救援装备与物资储备体系。</w:t>
            </w:r>
          </w:p>
        </w:tc>
      </w:tr>
    </w:tbl>
    <w:p>
      <w:pPr>
        <w:keepNext w:val="0"/>
        <w:keepLines w:val="0"/>
        <w:pageBreakBefore w:val="0"/>
        <w:shd w:val="clear" w:color="auto" w:fill="FFFFFF"/>
        <w:kinsoku/>
        <w:overflowPunct/>
        <w:topLinePunct/>
        <w:bidi w:val="0"/>
        <w:adjustRightInd w:val="0"/>
        <w:spacing w:before="298" w:beforeLines="50"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加强应急物流保障。</w:t>
      </w:r>
      <w:r>
        <w:rPr>
          <w:rFonts w:hint="eastAsia" w:ascii="方正仿宋_GBK" w:hAnsi="方正仿宋_GBK" w:eastAsia="方正仿宋_GBK" w:cs="方正仿宋_GBK"/>
          <w:sz w:val="32"/>
          <w:szCs w:val="32"/>
        </w:rPr>
        <w:t>健全多方参与、协同配合的综合交通紧急运输管理协调机制，集中统一应急物流指挥和管理。推动紧急运输绿色通道建设，完善并严格实行应急物资及人员、运输车辆优先通行服务保障制度，保障应急救援队伍、装备、物资快速抵达灾区。制定运输资源调运、征用、灾后补偿等配套政策和衔接机制，完善调运经费结算方式。建设政企联通的紧急运输调度指挥平台，提高救灾物资运输、配送、分发和使用调度管控水平。依托大型骨干物流企业，促进公路、铁路、民航、邮政快递等多种运输方式与应急物流的有效衔接。</w:t>
      </w:r>
    </w:p>
    <w:p>
      <w:pPr>
        <w:keepNext w:val="0"/>
        <w:keepLines w:val="0"/>
        <w:pageBreakBefore w:val="0"/>
        <w:kinsoku/>
        <w:overflowPunct/>
        <w:topLinePunct/>
        <w:bidi w:val="0"/>
        <w:adjustRightInd w:val="0"/>
        <w:spacing w:after="298" w:afterLines="50" w:line="580" w:lineRule="exact"/>
        <w:ind w:firstLine="664"/>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pacing w:val="8"/>
          <w:sz w:val="32"/>
          <w:szCs w:val="32"/>
        </w:rPr>
        <w:t>强化应急通信保障。</w:t>
      </w:r>
      <w:r>
        <w:rPr>
          <w:rFonts w:hint="eastAsia" w:ascii="方正仿宋_GBK" w:hAnsi="方正仿宋_GBK" w:eastAsia="方正仿宋_GBK" w:cs="方正仿宋_GBK"/>
          <w:kern w:val="0"/>
          <w:sz w:val="32"/>
          <w:szCs w:val="32"/>
        </w:rPr>
        <w:t>充分利用现有通信网络资源，健全各级各类应急指挥调度通信网络，完善公众与专用、保密与非保密相结合的应急通信保障网络体系，加强公用通信安全保障，提升网络抗毁能力。</w:t>
      </w:r>
    </w:p>
    <w:tbl>
      <w:tblPr>
        <w:tblStyle w:val="14"/>
        <w:tblW w:w="8865"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454" w:hRule="atLeast"/>
        </w:trPr>
        <w:tc>
          <w:tcPr>
            <w:tcW w:w="8865" w:type="dxa"/>
            <w:noWrap/>
            <w:vAlign w:val="center"/>
          </w:tcPr>
          <w:p>
            <w:pPr>
              <w:keepNext w:val="0"/>
              <w:keepLines w:val="0"/>
              <w:pageBreakBefore w:val="0"/>
              <w:widowControl w:val="0"/>
              <w:kinsoku/>
              <w:wordWrap/>
              <w:overflowPunct/>
              <w:topLinePunct/>
              <w:autoSpaceDE/>
              <w:autoSpaceDN/>
              <w:bidi w:val="0"/>
              <w:adjustRightInd w:val="0"/>
              <w:snapToGrid/>
              <w:spacing w:before="178" w:beforeLines="30" w:after="178" w:afterLines="30" w:line="400" w:lineRule="exact"/>
              <w:ind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专栏10 呼伦贝尔市森林草原防灭火应急通信保障能力提升工程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1120" w:hRule="atLeast"/>
        </w:trPr>
        <w:tc>
          <w:tcPr>
            <w:tcW w:w="8865" w:type="dxa"/>
            <w:noWrap/>
            <w:vAlign w:val="center"/>
          </w:tcPr>
          <w:p>
            <w:pPr>
              <w:keepNext w:val="0"/>
              <w:keepLines w:val="0"/>
              <w:pageBreakBefore w:val="0"/>
              <w:widowControl w:val="0"/>
              <w:kinsoku/>
              <w:wordWrap/>
              <w:overflowPunct/>
              <w:topLinePunct/>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1.通信保障基础设施</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完善林区、草原公网通信、卫星通信、短波及超短波通信建设，在呼伦贝尔市林区、草原内建成服务智慧林业、智慧牧区的专用通信基础设施。</w:t>
            </w:r>
          </w:p>
          <w:p>
            <w:pPr>
              <w:keepNext w:val="0"/>
              <w:keepLines w:val="0"/>
              <w:pageBreakBefore w:val="0"/>
              <w:widowControl w:val="0"/>
              <w:kinsoku/>
              <w:wordWrap/>
              <w:overflowPunct/>
              <w:topLinePunct/>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2.通信保障配套设施</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完善改造现有应急通信指挥系统，配置大中小型应急通信指挥车辆、相应的固定设施、卫星电话，形成较为完善的应急调度指挥体系。</w:t>
            </w:r>
          </w:p>
        </w:tc>
      </w:tr>
    </w:tbl>
    <w:p>
      <w:pPr>
        <w:keepNext w:val="0"/>
        <w:keepLines w:val="0"/>
        <w:pageBreakBefore w:val="0"/>
        <w:shd w:val="clear" w:color="auto" w:fill="FFFFFF"/>
        <w:kinsoku/>
        <w:overflowPunct/>
        <w:topLinePunct/>
        <w:bidi w:val="0"/>
        <w:adjustRightInd w:val="0"/>
        <w:spacing w:before="298" w:beforeLines="50" w:after="298" w:afterLines="50" w:line="580" w:lineRule="exact"/>
        <w:jc w:val="center"/>
        <w:outlineLvl w:val="0"/>
        <w:rPr>
          <w:rFonts w:hint="eastAsia" w:ascii="方正黑体_GBK" w:hAnsi="方正黑体_GBK" w:eastAsia="方正黑体_GBK" w:cs="方正黑体_GBK"/>
          <w:spacing w:val="8"/>
          <w:sz w:val="32"/>
          <w:szCs w:val="32"/>
        </w:rPr>
      </w:pPr>
      <w:bookmarkStart w:id="1212" w:name="_Toc5814"/>
      <w:bookmarkStart w:id="1213" w:name="_Toc13916"/>
      <w:bookmarkStart w:id="1214" w:name="_Toc87346251"/>
      <w:bookmarkStart w:id="1215" w:name="_Toc26152"/>
      <w:bookmarkStart w:id="1216" w:name="_Toc6259"/>
      <w:bookmarkStart w:id="1217" w:name="_Toc18989"/>
      <w:bookmarkStart w:id="1218" w:name="_Toc18300"/>
      <w:bookmarkStart w:id="1219" w:name="_Toc8633"/>
      <w:bookmarkStart w:id="1220" w:name="_Toc21208"/>
      <w:bookmarkStart w:id="1221" w:name="_Toc5097"/>
      <w:bookmarkStart w:id="1222" w:name="_Toc27980"/>
      <w:bookmarkStart w:id="1223" w:name="_Toc26633"/>
      <w:bookmarkStart w:id="1224" w:name="_Toc88078928"/>
      <w:bookmarkStart w:id="1225" w:name="_Toc16339"/>
      <w:bookmarkStart w:id="1226" w:name="_Toc17884"/>
      <w:bookmarkStart w:id="1227" w:name="_Toc18967"/>
      <w:bookmarkStart w:id="1228" w:name="_Toc8731"/>
      <w:bookmarkStart w:id="1229" w:name="_Toc19388"/>
      <w:bookmarkStart w:id="1230" w:name="_Toc25780"/>
      <w:bookmarkStart w:id="1231" w:name="_Toc3824"/>
      <w:bookmarkStart w:id="1232" w:name="_Toc6674"/>
      <w:bookmarkStart w:id="1233" w:name="_Toc9510"/>
      <w:bookmarkStart w:id="1234" w:name="_Toc11548"/>
      <w:bookmarkStart w:id="1235" w:name="_Toc18846"/>
      <w:bookmarkStart w:id="1236" w:name="_Toc28105"/>
      <w:bookmarkStart w:id="1237" w:name="_Toc15635"/>
      <w:bookmarkStart w:id="1238" w:name="_Toc3406"/>
      <w:bookmarkStart w:id="1239" w:name="_Toc15884"/>
      <w:bookmarkStart w:id="1240" w:name="_Toc10844"/>
      <w:bookmarkStart w:id="1241" w:name="_Toc10933"/>
      <w:bookmarkStart w:id="1242" w:name="_Toc91769313"/>
      <w:bookmarkStart w:id="1243" w:name="_Toc3530"/>
      <w:bookmarkStart w:id="1244" w:name="_Toc31423"/>
      <w:bookmarkStart w:id="1245" w:name="_Toc32349"/>
      <w:bookmarkStart w:id="1246" w:name="_Toc9492"/>
      <w:bookmarkStart w:id="1247" w:name="_Toc29375"/>
      <w:bookmarkStart w:id="1248" w:name="_Toc16070"/>
      <w:bookmarkStart w:id="1249" w:name="_Toc17132"/>
      <w:bookmarkStart w:id="1250" w:name="_Toc26231"/>
      <w:bookmarkStart w:id="1251" w:name="_Toc26049"/>
      <w:bookmarkStart w:id="1252" w:name="_Toc3407"/>
      <w:bookmarkStart w:id="1253" w:name="_Toc15252"/>
      <w:bookmarkStart w:id="1254" w:name="_Toc26435"/>
      <w:bookmarkStart w:id="1255" w:name="_Toc22692"/>
      <w:bookmarkStart w:id="1256" w:name="_Toc19453"/>
      <w:bookmarkStart w:id="1257" w:name="_Toc6831"/>
      <w:bookmarkStart w:id="1258" w:name="_Toc29437"/>
      <w:bookmarkStart w:id="1259" w:name="_Toc30995"/>
      <w:bookmarkStart w:id="1260" w:name="_Toc21539"/>
      <w:bookmarkStart w:id="1261" w:name="_Toc27216"/>
      <w:bookmarkStart w:id="1262" w:name="_Toc21558"/>
      <w:bookmarkStart w:id="1263" w:name="_Toc9229"/>
      <w:bookmarkStart w:id="1264" w:name="_Toc22330"/>
      <w:bookmarkStart w:id="1265" w:name="_Toc1055"/>
      <w:bookmarkStart w:id="1266" w:name="_Toc29070"/>
      <w:bookmarkStart w:id="1267" w:name="_Toc5668"/>
      <w:bookmarkStart w:id="1268" w:name="_Toc26976"/>
      <w:bookmarkStart w:id="1269" w:name="_Toc5577"/>
      <w:bookmarkStart w:id="1270" w:name="_Toc16316"/>
      <w:bookmarkStart w:id="1271" w:name="_Toc6857"/>
      <w:bookmarkStart w:id="1272" w:name="_Toc3744"/>
      <w:r>
        <w:rPr>
          <w:rFonts w:hint="eastAsia" w:ascii="方正黑体_GBK" w:hAnsi="方正黑体_GBK" w:eastAsia="方正黑体_GBK" w:cs="方正黑体_GBK"/>
          <w:sz w:val="32"/>
          <w:szCs w:val="32"/>
        </w:rPr>
        <w:t>第六章 健全应急科技支撑体系</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p>
    <w:bookmarkEnd w:id="1247"/>
    <w:bookmarkEnd w:id="1248"/>
    <w:bookmarkEnd w:id="1249"/>
    <w:bookmarkEnd w:id="1250"/>
    <w:bookmarkEnd w:id="1251"/>
    <w:bookmarkEnd w:id="1252"/>
    <w:bookmarkEnd w:id="1253"/>
    <w:p>
      <w:pPr>
        <w:keepNext w:val="0"/>
        <w:keepLines w:val="0"/>
        <w:pageBreakBefore w:val="0"/>
        <w:kinsoku/>
        <w:overflowPunct/>
        <w:topLinePunct/>
        <w:bidi w:val="0"/>
        <w:adjustRightInd w:val="0"/>
        <w:spacing w:before="298" w:beforeLines="50" w:after="298" w:afterLines="50" w:line="580" w:lineRule="exact"/>
        <w:jc w:val="center"/>
        <w:outlineLvl w:val="1"/>
        <w:rPr>
          <w:rFonts w:hint="eastAsia" w:ascii="方正仿宋_GBK" w:hAnsi="方正仿宋_GBK" w:eastAsia="方正仿宋_GBK" w:cs="方正仿宋_GBK"/>
          <w:spacing w:val="8"/>
          <w:sz w:val="32"/>
          <w:szCs w:val="32"/>
        </w:rPr>
      </w:pPr>
      <w:bookmarkStart w:id="1273" w:name="_Toc5093"/>
      <w:bookmarkStart w:id="1274" w:name="_Toc29634"/>
      <w:bookmarkStart w:id="1275" w:name="_Toc10079"/>
      <w:bookmarkStart w:id="1276" w:name="_Toc88078929"/>
      <w:bookmarkStart w:id="1277" w:name="_Toc30469"/>
      <w:bookmarkStart w:id="1278" w:name="_Toc6938"/>
      <w:bookmarkStart w:id="1279" w:name="_Toc6076"/>
      <w:bookmarkStart w:id="1280" w:name="_Toc29857"/>
      <w:bookmarkStart w:id="1281" w:name="_Toc20599"/>
      <w:bookmarkStart w:id="1282" w:name="_Toc24242"/>
      <w:bookmarkStart w:id="1283" w:name="_Toc32558"/>
      <w:bookmarkStart w:id="1284" w:name="_Toc9401"/>
      <w:bookmarkStart w:id="1285" w:name="_Toc4172"/>
      <w:bookmarkStart w:id="1286" w:name="_Toc14151"/>
      <w:bookmarkStart w:id="1287" w:name="_Toc11477"/>
      <w:bookmarkStart w:id="1288" w:name="_Toc20256"/>
      <w:bookmarkStart w:id="1289" w:name="_Toc20397"/>
      <w:bookmarkStart w:id="1290" w:name="_Toc19149"/>
      <w:bookmarkStart w:id="1291" w:name="_Toc91769314"/>
      <w:bookmarkStart w:id="1292" w:name="_Toc6611"/>
      <w:bookmarkStart w:id="1293" w:name="_Toc2546"/>
      <w:bookmarkStart w:id="1294" w:name="_Toc5566"/>
      <w:bookmarkStart w:id="1295" w:name="_Toc64"/>
      <w:bookmarkStart w:id="1296" w:name="_Toc87346252"/>
      <w:bookmarkStart w:id="1297" w:name="_Toc26498"/>
      <w:bookmarkStart w:id="1298" w:name="_Toc4057"/>
      <w:bookmarkStart w:id="1299" w:name="_Toc25169"/>
      <w:bookmarkStart w:id="1300" w:name="_Toc32281"/>
      <w:bookmarkStart w:id="1301" w:name="_Toc10460"/>
      <w:bookmarkStart w:id="1302" w:name="_Toc2456"/>
      <w:bookmarkStart w:id="1303" w:name="_Toc14843"/>
      <w:bookmarkStart w:id="1304" w:name="_Toc23600"/>
      <w:bookmarkStart w:id="1305" w:name="_Toc27540"/>
      <w:bookmarkStart w:id="1306" w:name="_Toc26516"/>
      <w:bookmarkStart w:id="1307" w:name="_Toc17431"/>
      <w:bookmarkStart w:id="1308" w:name="_Toc6155"/>
      <w:r>
        <w:rPr>
          <w:rFonts w:hint="eastAsia" w:ascii="方正楷体_GBK" w:hAnsi="方正楷体_GBK" w:eastAsia="方正楷体_GBK" w:cs="方正楷体_GBK"/>
          <w:spacing w:val="8"/>
          <w:sz w:val="32"/>
          <w:szCs w:val="32"/>
          <w:lang w:eastAsia="zh-CN"/>
        </w:rPr>
        <w:t>第一节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加强应急科技创新支撑</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pPr>
        <w:keepNext w:val="0"/>
        <w:keepLines w:val="0"/>
        <w:pageBreakBefore w:val="0"/>
        <w:kinsoku/>
        <w:overflowPunct/>
        <w:topLinePunct/>
        <w:autoSpaceDE w:val="0"/>
        <w:autoSpaceDN w:val="0"/>
        <w:bidi w:val="0"/>
        <w:adjustRightInd w:val="0"/>
        <w:spacing w:after="298" w:afterLines="50"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加强应急理论及技术研究。</w:t>
      </w:r>
      <w:r>
        <w:rPr>
          <w:rFonts w:hint="eastAsia" w:ascii="方正仿宋_GBK" w:hAnsi="方正仿宋_GBK" w:eastAsia="方正仿宋_GBK" w:cs="方正仿宋_GBK"/>
          <w:sz w:val="32"/>
          <w:szCs w:val="32"/>
        </w:rPr>
        <w:t>通过政策引导和资金扶持，大力支持科研院所、企事业单位深入开展以灾害事故致灾成灾机理为核心的基础研究，重点推动生产安全事故防控技术研究，研发事故灾难应急处置技术装备，特别是适用于极端恶劣环境的智能化、实用化、轻量化专用装备，提升全区自然灾害防治和安全生产技术水平。</w:t>
      </w:r>
    </w:p>
    <w:tbl>
      <w:tblPr>
        <w:tblStyle w:val="14"/>
        <w:tblW w:w="88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8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454" w:hRule="atLeast"/>
        </w:trPr>
        <w:tc>
          <w:tcPr>
            <w:tcW w:w="8855" w:type="dxa"/>
            <w:noWrap/>
            <w:vAlign w:val="center"/>
          </w:tcPr>
          <w:p>
            <w:pPr>
              <w:keepNext w:val="0"/>
              <w:keepLines w:val="0"/>
              <w:pageBreakBefore w:val="0"/>
              <w:widowControl w:val="0"/>
              <w:kinsoku/>
              <w:wordWrap/>
              <w:overflowPunct/>
              <w:topLinePunct/>
              <w:autoSpaceDE/>
              <w:autoSpaceDN/>
              <w:bidi w:val="0"/>
              <w:adjustRightInd w:val="0"/>
              <w:snapToGrid/>
              <w:spacing w:before="178" w:beforeLines="30" w:after="178" w:afterLines="30" w:line="400" w:lineRule="exact"/>
              <w:ind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专栏11 应急理论和技术研究重点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1120" w:hRule="atLeast"/>
        </w:trPr>
        <w:tc>
          <w:tcPr>
            <w:tcW w:w="8855" w:type="dxa"/>
            <w:noWrap/>
            <w:vAlign w:val="center"/>
          </w:tcPr>
          <w:p>
            <w:pPr>
              <w:keepNext w:val="0"/>
              <w:keepLines w:val="0"/>
              <w:pageBreakBefore w:val="0"/>
              <w:widowControl w:val="0"/>
              <w:kinsoku/>
              <w:wordWrap/>
              <w:overflowPunct/>
              <w:topLinePunct/>
              <w:autoSpaceDE/>
              <w:autoSpaceDN/>
              <w:bidi w:val="0"/>
              <w:adjustRightInd w:val="0"/>
              <w:snapToGrid/>
              <w:spacing w:line="400" w:lineRule="exact"/>
              <w:ind w:left="0" w:leftChars="0" w:firstLine="560" w:firstLineChars="200"/>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1.自然灾害领域</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重大自然灾害综合协同监测预警研究，大兴安岭雷击火防控理论与技术，边境火联防联控理论与技术，黄河凌汛治理理论与技术。</w:t>
            </w:r>
          </w:p>
          <w:p>
            <w:pPr>
              <w:keepNext w:val="0"/>
              <w:keepLines w:val="0"/>
              <w:pageBreakBefore w:val="0"/>
              <w:widowControl w:val="0"/>
              <w:kinsoku/>
              <w:wordWrap/>
              <w:overflowPunct/>
              <w:topLinePunct/>
              <w:autoSpaceDE/>
              <w:autoSpaceDN/>
              <w:bidi w:val="0"/>
              <w:adjustRightInd w:val="0"/>
              <w:snapToGrid/>
              <w:spacing w:line="400" w:lineRule="exact"/>
              <w:ind w:left="0" w:leftChars="0" w:firstLine="560" w:firstLineChars="200"/>
              <w:textAlignment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2.安全生产领域</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高危行业企业安全生产风险的监测、评估、预警和趋势分析，安全仪表系统、自动化控制、工艺优化和技术更新改造研究。</w:t>
            </w:r>
          </w:p>
        </w:tc>
      </w:tr>
    </w:tbl>
    <w:p>
      <w:pPr>
        <w:keepNext w:val="0"/>
        <w:keepLines w:val="0"/>
        <w:pageBreakBefore w:val="0"/>
        <w:kinsoku/>
        <w:overflowPunct/>
        <w:topLinePunct/>
        <w:autoSpaceDE w:val="0"/>
        <w:autoSpaceDN w:val="0"/>
        <w:bidi w:val="0"/>
        <w:adjustRightInd w:val="0"/>
        <w:spacing w:before="298" w:beforeLines="50"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推广先进科技成果转化应用。</w:t>
      </w:r>
      <w:r>
        <w:rPr>
          <w:rFonts w:hint="eastAsia" w:ascii="方正仿宋_GBK" w:hAnsi="方正仿宋_GBK" w:eastAsia="方正仿宋_GBK" w:cs="方正仿宋_GBK"/>
          <w:sz w:val="32"/>
          <w:szCs w:val="32"/>
        </w:rPr>
        <w:t>完善自治区、盟市、旗县（市、区）和企业等多层次科研成果转化推广机制。建设自治区级重点实验室、技术创新中心、产业技术创新战略联盟等科技平台，</w:t>
      </w:r>
      <w:r>
        <w:rPr>
          <w:rFonts w:hint="eastAsia" w:ascii="方正仿宋_GBK" w:hAnsi="方正仿宋_GBK" w:eastAsia="方正仿宋_GBK" w:cs="方正仿宋_GBK"/>
          <w:sz w:val="32"/>
          <w:szCs w:val="32"/>
          <w:lang w:eastAsia="zh-CN"/>
        </w:rPr>
        <w:t>推广</w:t>
      </w:r>
      <w:r>
        <w:rPr>
          <w:rFonts w:hint="eastAsia" w:ascii="方正仿宋_GBK" w:hAnsi="方正仿宋_GBK" w:eastAsia="方正仿宋_GBK" w:cs="方正仿宋_GBK"/>
          <w:sz w:val="32"/>
          <w:szCs w:val="32"/>
        </w:rPr>
        <w:t>使用应急管理领域科技成果。鼓励和支持先进技术装备在应急管理各专业领域的推广应用，实施智慧矿山风险防控、智慧化工园区风险防控、智慧消防工程。</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309" w:name="_Toc87346253"/>
      <w:bookmarkStart w:id="1310" w:name="_Toc11082"/>
      <w:bookmarkStart w:id="1311" w:name="_Toc20205"/>
      <w:bookmarkStart w:id="1312" w:name="_Toc24996"/>
      <w:bookmarkStart w:id="1313" w:name="_Toc23283"/>
      <w:bookmarkStart w:id="1314" w:name="_Toc27243"/>
      <w:bookmarkStart w:id="1315" w:name="_Toc22237"/>
      <w:bookmarkStart w:id="1316" w:name="_Toc29301"/>
      <w:bookmarkStart w:id="1317" w:name="_Toc169"/>
      <w:bookmarkStart w:id="1318" w:name="_Toc10261"/>
      <w:bookmarkStart w:id="1319" w:name="_Toc7407"/>
      <w:bookmarkStart w:id="1320" w:name="_Toc19295"/>
      <w:bookmarkStart w:id="1321" w:name="_Toc23735"/>
      <w:bookmarkStart w:id="1322" w:name="_Toc23853"/>
      <w:bookmarkStart w:id="1323" w:name="_Toc27753"/>
      <w:bookmarkStart w:id="1324" w:name="_Toc27870"/>
      <w:bookmarkStart w:id="1325" w:name="_Toc28291"/>
      <w:bookmarkStart w:id="1326" w:name="_Toc18857"/>
      <w:bookmarkStart w:id="1327" w:name="_Toc4002"/>
      <w:bookmarkStart w:id="1328" w:name="_Toc27366"/>
      <w:bookmarkStart w:id="1329" w:name="_Toc5817"/>
      <w:bookmarkStart w:id="1330" w:name="_Toc5890"/>
      <w:bookmarkStart w:id="1331" w:name="_Toc10526"/>
      <w:bookmarkStart w:id="1332" w:name="_Toc3247"/>
      <w:bookmarkStart w:id="1333" w:name="_Toc9852"/>
      <w:bookmarkStart w:id="1334" w:name="_Toc12065"/>
      <w:bookmarkStart w:id="1335" w:name="_Toc5509"/>
      <w:bookmarkStart w:id="1336" w:name="_Toc4916"/>
      <w:bookmarkStart w:id="1337" w:name="_Toc16355"/>
      <w:bookmarkStart w:id="1338" w:name="_Toc17620"/>
      <w:bookmarkStart w:id="1339" w:name="_Toc30643"/>
      <w:bookmarkStart w:id="1340" w:name="_Toc31115"/>
      <w:bookmarkStart w:id="1341" w:name="_Toc896"/>
      <w:bookmarkStart w:id="1342" w:name="_Toc6877"/>
      <w:bookmarkStart w:id="1343" w:name="_Toc15584"/>
      <w:bookmarkStart w:id="1344" w:name="_Toc18774"/>
      <w:bookmarkStart w:id="1345" w:name="_Toc88078930"/>
      <w:bookmarkStart w:id="1346" w:name="_Toc9175"/>
      <w:bookmarkStart w:id="1347" w:name="_Toc3446"/>
      <w:bookmarkStart w:id="1348" w:name="_Toc10204"/>
      <w:bookmarkStart w:id="1349" w:name="_Toc91769315"/>
      <w:bookmarkStart w:id="1350" w:name="_Toc16246"/>
      <w:bookmarkStart w:id="1351" w:name="_Toc9985"/>
      <w:bookmarkStart w:id="1352" w:name="_Toc8701"/>
      <w:bookmarkStart w:id="1353" w:name="_Toc26603"/>
      <w:bookmarkStart w:id="1354" w:name="_Toc16694"/>
      <w:bookmarkStart w:id="1355" w:name="_Toc16625"/>
      <w:bookmarkStart w:id="1356" w:name="_Toc24240"/>
      <w:bookmarkStart w:id="1357" w:name="_Toc7426"/>
      <w:bookmarkStart w:id="1358" w:name="_Toc2324"/>
      <w:bookmarkStart w:id="1359" w:name="_Toc23100"/>
      <w:bookmarkStart w:id="1360" w:name="_Toc355"/>
      <w:bookmarkStart w:id="1361" w:name="_Toc675"/>
      <w:bookmarkStart w:id="1362" w:name="_Toc16951"/>
      <w:bookmarkStart w:id="1363" w:name="_Toc8212"/>
      <w:bookmarkStart w:id="1364" w:name="_Toc32250"/>
      <w:r>
        <w:rPr>
          <w:rFonts w:hint="eastAsia" w:ascii="方正楷体_GBK" w:hAnsi="方正楷体_GBK" w:eastAsia="方正楷体_GBK" w:cs="方正楷体_GBK"/>
          <w:spacing w:val="8"/>
          <w:sz w:val="32"/>
          <w:szCs w:val="32"/>
          <w:lang w:eastAsia="zh-CN"/>
        </w:rPr>
        <w:t>第二节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推进应急产业发展</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pPr>
        <w:keepNext w:val="0"/>
        <w:keepLines w:val="0"/>
        <w:pageBreakBefore w:val="0"/>
        <w:kinsoku/>
        <w:overflowPunct/>
        <w:topLinePunct/>
        <w:autoSpaceDE w:val="0"/>
        <w:autoSpaceDN w:val="0"/>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落实应急产业发展扶持政策，打造应急工程抢险装备、森林草原消防应急装备、高机动应急救援系统装备、矿山救援装备、先进社会安全保障产品研发及制造产业集群。推动包头市国家级应急产业示范基地建设，积极培育应急产业高新技术企业。加快发展安全和应急服务业，鼓励企业提供智能预警、应急救援救护等安全和应急一体化综合解决方案和服务产品，推动应急产业向中高端发展。</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365" w:name="_Toc5301"/>
      <w:bookmarkStart w:id="1366" w:name="_Toc10566"/>
      <w:bookmarkStart w:id="1367" w:name="_Toc28703"/>
      <w:bookmarkStart w:id="1368" w:name="_Toc23860"/>
      <w:bookmarkStart w:id="1369" w:name="_Toc21280"/>
      <w:bookmarkStart w:id="1370" w:name="_Toc20938"/>
      <w:bookmarkStart w:id="1371" w:name="_Toc24424"/>
      <w:bookmarkStart w:id="1372" w:name="_Toc29805"/>
      <w:bookmarkStart w:id="1373" w:name="_Toc28903"/>
      <w:bookmarkStart w:id="1374" w:name="_Toc4757"/>
      <w:bookmarkStart w:id="1375" w:name="_Toc29789"/>
      <w:bookmarkStart w:id="1376" w:name="_Toc1363"/>
      <w:bookmarkStart w:id="1377" w:name="_Toc6695"/>
      <w:bookmarkStart w:id="1378" w:name="_Toc10360"/>
      <w:bookmarkStart w:id="1379" w:name="_Toc17272"/>
      <w:bookmarkStart w:id="1380" w:name="_Toc26532"/>
      <w:bookmarkStart w:id="1381" w:name="_Toc87346254"/>
      <w:bookmarkStart w:id="1382" w:name="_Toc12603"/>
      <w:bookmarkStart w:id="1383" w:name="_Toc3169"/>
      <w:bookmarkStart w:id="1384" w:name="_Toc27421"/>
      <w:bookmarkStart w:id="1385" w:name="_Toc29141"/>
      <w:bookmarkStart w:id="1386" w:name="_Toc11895"/>
      <w:bookmarkStart w:id="1387" w:name="_Toc4028"/>
      <w:bookmarkStart w:id="1388" w:name="_Toc31742"/>
      <w:bookmarkStart w:id="1389" w:name="_Toc23756"/>
      <w:bookmarkStart w:id="1390" w:name="_Toc21125"/>
      <w:bookmarkStart w:id="1391" w:name="_Toc88078931"/>
      <w:bookmarkStart w:id="1392" w:name="_Toc27052"/>
      <w:bookmarkStart w:id="1393" w:name="_Toc16536"/>
      <w:bookmarkStart w:id="1394" w:name="_Toc15994"/>
      <w:bookmarkStart w:id="1395" w:name="_Toc91769316"/>
      <w:bookmarkStart w:id="1396" w:name="_Toc28820"/>
      <w:bookmarkStart w:id="1397" w:name="_Toc29573"/>
      <w:bookmarkStart w:id="1398" w:name="_Toc18205"/>
      <w:bookmarkStart w:id="1399" w:name="_Toc731"/>
      <w:bookmarkStart w:id="1400" w:name="_Toc21448"/>
      <w:bookmarkStart w:id="1401" w:name="_Toc8666"/>
      <w:bookmarkStart w:id="1402" w:name="_Toc28073"/>
      <w:bookmarkStart w:id="1403" w:name="_Toc15329"/>
      <w:bookmarkStart w:id="1404" w:name="_Toc18064"/>
      <w:bookmarkStart w:id="1405" w:name="_Toc19880"/>
      <w:bookmarkStart w:id="1406" w:name="_Toc4413"/>
      <w:bookmarkStart w:id="1407" w:name="_Toc9482"/>
      <w:bookmarkStart w:id="1408" w:name="_Toc22888"/>
      <w:bookmarkStart w:id="1409" w:name="_Toc13347"/>
      <w:bookmarkStart w:id="1410" w:name="_Toc6800"/>
      <w:bookmarkStart w:id="1411" w:name="_Toc1193"/>
      <w:bookmarkStart w:id="1412" w:name="_Toc28455"/>
      <w:bookmarkStart w:id="1413" w:name="_Toc31857"/>
      <w:bookmarkStart w:id="1414" w:name="_Toc8434"/>
      <w:bookmarkStart w:id="1415" w:name="_Toc10098"/>
      <w:bookmarkStart w:id="1416" w:name="_Toc15681"/>
      <w:bookmarkStart w:id="1417" w:name="_Toc4588"/>
      <w:bookmarkStart w:id="1418" w:name="_Toc6094"/>
      <w:bookmarkStart w:id="1419" w:name="_Toc14383"/>
      <w:r>
        <w:rPr>
          <w:rFonts w:hint="eastAsia" w:ascii="方正楷体_GBK" w:hAnsi="方正楷体_GBK" w:eastAsia="方正楷体_GBK" w:cs="方正楷体_GBK"/>
          <w:spacing w:val="8"/>
          <w:sz w:val="32"/>
          <w:szCs w:val="32"/>
          <w:lang w:eastAsia="zh-CN"/>
        </w:rPr>
        <w:t>第三节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夯实应急数字化</w:t>
      </w:r>
      <w:bookmarkEnd w:id="1365"/>
      <w:bookmarkEnd w:id="1366"/>
      <w:bookmarkEnd w:id="1367"/>
      <w:bookmarkEnd w:id="1368"/>
      <w:bookmarkEnd w:id="1369"/>
      <w:bookmarkEnd w:id="1370"/>
      <w:bookmarkEnd w:id="1371"/>
      <w:bookmarkEnd w:id="1372"/>
      <w:r>
        <w:rPr>
          <w:rFonts w:hint="eastAsia" w:ascii="方正楷体_GBK" w:hAnsi="方正楷体_GBK" w:eastAsia="方正楷体_GBK" w:cs="方正楷体_GBK"/>
          <w:spacing w:val="8"/>
          <w:sz w:val="32"/>
          <w:szCs w:val="32"/>
        </w:rPr>
        <w:t>发展基础</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pPr>
        <w:keepNext w:val="0"/>
        <w:keepLines w:val="0"/>
        <w:pageBreakBefore w:val="0"/>
        <w:kinsoku/>
        <w:overflowPunct/>
        <w:topLinePunct/>
        <w:bidi w:val="0"/>
        <w:spacing w:after="178" w:afterLines="30"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善数字应急管理体系，建设应急管理主题数据资源库，推动应急管理数据高效互通共享，加强对事故灾难预警和应急响应，统筹推进全区应急通信网、综合应用平台和数据治理建设，夯实自然灾害、安全生产、城市安全和应急处置数字化发展基础。</w:t>
      </w:r>
    </w:p>
    <w:tbl>
      <w:tblPr>
        <w:tblStyle w:val="14"/>
        <w:tblW w:w="886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8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rPr>
        <w:tc>
          <w:tcPr>
            <w:tcW w:w="8866" w:type="dxa"/>
            <w:noWrap/>
            <w:vAlign w:val="center"/>
          </w:tcPr>
          <w:p>
            <w:pPr>
              <w:keepNext w:val="0"/>
              <w:keepLines w:val="0"/>
              <w:pageBreakBefore w:val="0"/>
              <w:widowControl w:val="0"/>
              <w:kinsoku/>
              <w:wordWrap/>
              <w:overflowPunct/>
              <w:topLinePunct/>
              <w:autoSpaceDE/>
              <w:autoSpaceDN/>
              <w:bidi w:val="0"/>
              <w:adjustRightInd w:val="0"/>
              <w:snapToGrid/>
              <w:spacing w:before="178" w:beforeLines="30" w:after="178" w:afterLines="30" w:line="400" w:lineRule="exact"/>
              <w:ind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专栏12 应急管理信息化骨干框架体系建设工程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0" w:hRule="atLeast"/>
        </w:trPr>
        <w:tc>
          <w:tcPr>
            <w:tcW w:w="8866" w:type="dxa"/>
            <w:noWrap/>
            <w:vAlign w:val="center"/>
          </w:tcPr>
          <w:p>
            <w:pPr>
              <w:keepNext w:val="0"/>
              <w:keepLines w:val="0"/>
              <w:pageBreakBefore w:val="0"/>
              <w:widowControl w:val="0"/>
              <w:kinsoku/>
              <w:wordWrap/>
              <w:overflowPunct/>
              <w:topLinePunct/>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1.一中心</w:t>
            </w:r>
            <w:bookmarkStart w:id="1420" w:name="_Hlk88505347"/>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把应急管理厅应急救援指挥中心升级改造为自治区应急救援指挥中心，</w:t>
            </w:r>
            <w:bookmarkEnd w:id="1420"/>
            <w:r>
              <w:rPr>
                <w:rFonts w:hint="eastAsia" w:ascii="方正仿宋_GBK" w:hAnsi="方正仿宋_GBK" w:eastAsia="方正仿宋_GBK" w:cs="方正仿宋_GBK"/>
                <w:sz w:val="28"/>
                <w:szCs w:val="28"/>
              </w:rPr>
              <w:t>作为全区应急值守、监测预警、会商决策、指挥调度、信息发布的现代化综合运转中枢，为领导指挥处置突发事件、有关部门开展联合会商、视频会议调度等提供基础设施保障，同步推动</w:t>
            </w:r>
            <w:r>
              <w:rPr>
                <w:rFonts w:hint="eastAsia" w:ascii="方正仿宋_GBK" w:hAnsi="方正仿宋_GBK" w:eastAsia="方正仿宋_GBK" w:cs="方正仿宋_GBK"/>
                <w:sz w:val="28"/>
                <w:szCs w:val="28"/>
                <w:lang w:val="zh-CN"/>
              </w:rPr>
              <w:t>盟市、旗县（市、区）应急指挥</w:t>
            </w:r>
            <w:r>
              <w:rPr>
                <w:rFonts w:hint="eastAsia" w:ascii="方正仿宋_GBK" w:hAnsi="方正仿宋_GBK" w:eastAsia="方正仿宋_GBK" w:cs="方正仿宋_GBK"/>
                <w:sz w:val="28"/>
                <w:szCs w:val="28"/>
              </w:rPr>
              <w:t>场所规范化、标准化建设。</w:t>
            </w:r>
          </w:p>
          <w:p>
            <w:pPr>
              <w:keepNext w:val="0"/>
              <w:keepLines w:val="0"/>
              <w:pageBreakBefore w:val="0"/>
              <w:widowControl w:val="0"/>
              <w:kinsoku/>
              <w:wordWrap/>
              <w:overflowPunct/>
              <w:topLinePunct/>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2.一张网</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利用物联网、人工智能、航天通信等技术，以灾害事故现场移动通信能力建设为重点，建设纵向贯穿全区各级应急管理部门、横向联通各相关部门，空天地一体的应急通信网，实现有线、无线和卫星通信网融合互通，为救援指挥提供畅通稳定的通信保障。</w:t>
            </w:r>
          </w:p>
          <w:p>
            <w:pPr>
              <w:keepNext w:val="0"/>
              <w:keepLines w:val="0"/>
              <w:pageBreakBefore w:val="0"/>
              <w:widowControl w:val="0"/>
              <w:kinsoku/>
              <w:wordWrap/>
              <w:overflowPunct/>
              <w:topLinePunct/>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3.一张图</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建设基于GIS的数据支撑系统，集成全区应急基础数据、监控数据、监控视频、预警数据、风险数据等海量数据资源，自动汇聚、关联、融合，支撑应急资源全盘可视、应急力量整体联动和应急救援快速响应，实现各项业务应用数据“一张图”展示。</w:t>
            </w:r>
          </w:p>
          <w:p>
            <w:pPr>
              <w:keepNext w:val="0"/>
              <w:keepLines w:val="0"/>
              <w:pageBreakBefore w:val="0"/>
              <w:widowControl w:val="0"/>
              <w:kinsoku/>
              <w:wordWrap/>
              <w:overflowPunct/>
              <w:topLinePunct/>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4.一平台</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建设全区统一的应急管理综合应用平台，对安全生产监督管理、风险监测预警、灾害事故指挥救援、决策支持、政务管理五大业务领域的若干应用系统进行全面整合与集成，充分利用国家和自治区现有的平台及软件资源，打造具有区域特色的森林草原防灭火、防汛抗旱、安全生产在线监管等应用系统，运用区块链技术实现灾害事故信息追根溯源，构建统一门户，保障常态和非常态下的全过程业务开展。</w:t>
            </w:r>
          </w:p>
          <w:p>
            <w:pPr>
              <w:keepNext w:val="0"/>
              <w:keepLines w:val="0"/>
              <w:pageBreakBefore w:val="0"/>
              <w:widowControl w:val="0"/>
              <w:kinsoku/>
              <w:wordWrap/>
              <w:overflowPunct/>
              <w:topLinePunct/>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5.一体系</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建设科学智能的安全防护和运维管理体系，保障信息网络以及应用系统安全稳定、高效可靠运行。</w:t>
            </w:r>
          </w:p>
        </w:tc>
      </w:tr>
    </w:tbl>
    <w:p>
      <w:pPr>
        <w:keepNext w:val="0"/>
        <w:keepLines w:val="0"/>
        <w:pageBreakBefore w:val="0"/>
        <w:shd w:val="clear" w:color="auto" w:fill="FFFFFF"/>
        <w:kinsoku/>
        <w:overflowPunct/>
        <w:topLinePunct/>
        <w:bidi w:val="0"/>
        <w:spacing w:before="298" w:beforeLines="50" w:after="298" w:afterLines="50" w:line="580" w:lineRule="exact"/>
        <w:jc w:val="center"/>
        <w:outlineLvl w:val="0"/>
        <w:rPr>
          <w:rFonts w:hint="eastAsia" w:ascii="方正黑体_GBK" w:hAnsi="方正黑体_GBK" w:eastAsia="方正黑体_GBK" w:cs="方正黑体_GBK"/>
          <w:spacing w:val="8"/>
          <w:sz w:val="32"/>
          <w:szCs w:val="32"/>
        </w:rPr>
      </w:pPr>
      <w:bookmarkStart w:id="1421" w:name="_Toc28096"/>
      <w:bookmarkStart w:id="1422" w:name="_Toc15798"/>
      <w:bookmarkStart w:id="1423" w:name="_Toc6735"/>
      <w:bookmarkStart w:id="1424" w:name="_Toc87346255"/>
      <w:bookmarkStart w:id="1425" w:name="_Toc16423"/>
      <w:bookmarkStart w:id="1426" w:name="_Toc91769317"/>
      <w:bookmarkStart w:id="1427" w:name="_Toc21194"/>
      <w:bookmarkStart w:id="1428" w:name="_Toc110"/>
      <w:bookmarkStart w:id="1429" w:name="_Toc29609"/>
      <w:bookmarkStart w:id="1430" w:name="_Toc14288"/>
      <w:bookmarkStart w:id="1431" w:name="_Toc88078932"/>
      <w:bookmarkStart w:id="1432" w:name="_Toc14494"/>
      <w:bookmarkStart w:id="1433" w:name="_Toc6593"/>
      <w:bookmarkStart w:id="1434" w:name="_Toc24443"/>
      <w:bookmarkStart w:id="1435" w:name="_Toc27474"/>
      <w:bookmarkStart w:id="1436" w:name="_Toc26042"/>
      <w:bookmarkStart w:id="1437" w:name="_Toc22633"/>
      <w:bookmarkStart w:id="1438" w:name="_Toc24614"/>
      <w:bookmarkStart w:id="1439" w:name="_Toc18023"/>
      <w:bookmarkStart w:id="1440" w:name="_Toc13842"/>
      <w:bookmarkStart w:id="1441" w:name="_Toc20126"/>
      <w:bookmarkStart w:id="1442" w:name="_Toc21653"/>
      <w:bookmarkStart w:id="1443" w:name="_Toc24329"/>
      <w:bookmarkStart w:id="1444" w:name="_Toc25832"/>
      <w:bookmarkStart w:id="1445" w:name="_Toc20377"/>
      <w:bookmarkStart w:id="1446" w:name="_Toc1709"/>
      <w:bookmarkStart w:id="1447" w:name="_Toc25233"/>
      <w:bookmarkStart w:id="1448" w:name="_Toc17160"/>
      <w:bookmarkStart w:id="1449" w:name="_Toc18474"/>
      <w:bookmarkStart w:id="1450" w:name="_Toc19558"/>
      <w:bookmarkStart w:id="1451" w:name="_Toc10245"/>
      <w:bookmarkStart w:id="1452" w:name="_Toc3335"/>
      <w:bookmarkStart w:id="1453" w:name="_Toc31191"/>
      <w:bookmarkStart w:id="1454" w:name="_Toc2919"/>
      <w:bookmarkStart w:id="1455" w:name="_Toc20229"/>
      <w:bookmarkStart w:id="1456" w:name="_Toc26549"/>
      <w:bookmarkStart w:id="1457" w:name="_Toc6275"/>
      <w:bookmarkStart w:id="1458" w:name="_Toc15685"/>
      <w:bookmarkStart w:id="1459" w:name="_Toc29062"/>
      <w:bookmarkStart w:id="1460" w:name="_Toc2717"/>
      <w:bookmarkStart w:id="1461" w:name="_Toc31856"/>
      <w:bookmarkStart w:id="1462" w:name="_Toc15639"/>
      <w:bookmarkStart w:id="1463" w:name="_Toc32285"/>
      <w:r>
        <w:rPr>
          <w:rFonts w:hint="eastAsia" w:ascii="方正黑体_GBK" w:hAnsi="方正黑体_GBK" w:eastAsia="方正黑体_GBK" w:cs="方正黑体_GBK"/>
          <w:sz w:val="32"/>
          <w:szCs w:val="32"/>
        </w:rPr>
        <w:t>第七章 加强社会治理体系建设</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bookmarkEnd w:id="1456"/>
    <w:bookmarkEnd w:id="1457"/>
    <w:bookmarkEnd w:id="1458"/>
    <w:bookmarkEnd w:id="1459"/>
    <w:bookmarkEnd w:id="1460"/>
    <w:bookmarkEnd w:id="1461"/>
    <w:bookmarkEnd w:id="1462"/>
    <w:bookmarkEnd w:id="1463"/>
    <w:p>
      <w:pPr>
        <w:keepNext w:val="0"/>
        <w:keepLines w:val="0"/>
        <w:pageBreakBefore w:val="0"/>
        <w:kinsoku/>
        <w:overflowPunct/>
        <w:topLinePunct/>
        <w:bidi w:val="0"/>
        <w:spacing w:after="298" w:afterLines="50" w:line="580" w:lineRule="exact"/>
        <w:jc w:val="center"/>
        <w:outlineLvl w:val="1"/>
        <w:rPr>
          <w:rFonts w:hint="eastAsia" w:ascii="方正楷体_GBK" w:hAnsi="方正楷体_GBK" w:eastAsia="方正楷体_GBK" w:cs="方正楷体_GBK"/>
          <w:spacing w:val="8"/>
          <w:sz w:val="32"/>
          <w:szCs w:val="32"/>
        </w:rPr>
      </w:pPr>
      <w:bookmarkStart w:id="1464" w:name="_Toc8634"/>
      <w:bookmarkStart w:id="1465" w:name="_Toc558"/>
      <w:bookmarkStart w:id="1466" w:name="_Toc10143"/>
      <w:bookmarkStart w:id="1467" w:name="_Toc4112"/>
      <w:bookmarkStart w:id="1468" w:name="_Toc12443"/>
      <w:bookmarkStart w:id="1469" w:name="_Toc8481"/>
      <w:bookmarkStart w:id="1470" w:name="_Toc12631"/>
      <w:bookmarkStart w:id="1471" w:name="_Toc14283"/>
      <w:bookmarkStart w:id="1472" w:name="_Toc6350"/>
      <w:bookmarkStart w:id="1473" w:name="_Toc1292"/>
      <w:bookmarkStart w:id="1474" w:name="_Toc3475"/>
      <w:bookmarkStart w:id="1475" w:name="_Toc8654"/>
      <w:bookmarkStart w:id="1476" w:name="_Toc7606"/>
      <w:bookmarkStart w:id="1477" w:name="_Toc1694"/>
      <w:bookmarkStart w:id="1478" w:name="_Toc14935"/>
      <w:bookmarkStart w:id="1479" w:name="_Toc26291"/>
      <w:bookmarkStart w:id="1480" w:name="_Toc6947"/>
      <w:bookmarkStart w:id="1481" w:name="_Toc18750"/>
      <w:bookmarkStart w:id="1482" w:name="_Toc6288"/>
      <w:bookmarkStart w:id="1483" w:name="_Toc87346256"/>
      <w:bookmarkStart w:id="1484" w:name="_Toc28851"/>
      <w:bookmarkStart w:id="1485" w:name="_Toc28468"/>
      <w:bookmarkStart w:id="1486" w:name="_Toc1844"/>
      <w:bookmarkStart w:id="1487" w:name="_Toc1774"/>
      <w:bookmarkStart w:id="1488" w:name="_Toc26756"/>
      <w:bookmarkStart w:id="1489" w:name="_Toc23914"/>
      <w:bookmarkStart w:id="1490" w:name="_Toc31310"/>
      <w:bookmarkStart w:id="1491" w:name="_Toc6396"/>
      <w:bookmarkStart w:id="1492" w:name="_Toc88078933"/>
      <w:bookmarkStart w:id="1493" w:name="_Toc32503"/>
      <w:bookmarkStart w:id="1494" w:name="_Toc91769318"/>
      <w:bookmarkStart w:id="1495" w:name="_Toc23556"/>
      <w:bookmarkStart w:id="1496" w:name="_Toc16060"/>
      <w:bookmarkStart w:id="1497" w:name="_Toc12937"/>
      <w:bookmarkStart w:id="1498" w:name="_Toc26497"/>
      <w:bookmarkStart w:id="1499" w:name="_Toc4234"/>
      <w:bookmarkStart w:id="1500" w:name="_Toc5452"/>
      <w:bookmarkStart w:id="1501" w:name="_Toc27528"/>
      <w:bookmarkStart w:id="1502" w:name="_Toc19848"/>
      <w:bookmarkStart w:id="1503" w:name="_Toc10771"/>
      <w:bookmarkStart w:id="1504" w:name="_Toc25056"/>
      <w:bookmarkStart w:id="1505" w:name="_Toc19928"/>
      <w:bookmarkStart w:id="1506" w:name="_Toc19789"/>
      <w:bookmarkStart w:id="1507" w:name="_Toc32005"/>
      <w:bookmarkStart w:id="1508" w:name="_Toc29491"/>
      <w:bookmarkStart w:id="1509" w:name="_Toc7859"/>
      <w:bookmarkStart w:id="1510" w:name="_Toc260"/>
      <w:bookmarkStart w:id="1511" w:name="_Toc9416"/>
      <w:bookmarkStart w:id="1512" w:name="_Toc14376"/>
      <w:bookmarkStart w:id="1513" w:name="_Toc13626"/>
      <w:bookmarkStart w:id="1514" w:name="_Toc11155"/>
      <w:bookmarkStart w:id="1515" w:name="_Toc2979"/>
      <w:bookmarkStart w:id="1516" w:name="_Toc30715"/>
      <w:bookmarkStart w:id="1517" w:name="_Toc29704"/>
      <w:bookmarkStart w:id="1518" w:name="_Toc26181"/>
      <w:bookmarkStart w:id="1519" w:name="_Toc8877"/>
      <w:r>
        <w:rPr>
          <w:rFonts w:hint="eastAsia" w:ascii="方正楷体_GBK" w:hAnsi="方正楷体_GBK" w:eastAsia="方正楷体_GBK" w:cs="方正楷体_GBK"/>
          <w:spacing w:val="8"/>
          <w:sz w:val="32"/>
          <w:szCs w:val="32"/>
          <w:lang w:eastAsia="zh-CN"/>
        </w:rPr>
        <w:t>第一节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培育特色应急文化</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pPr>
        <w:keepNext w:val="0"/>
        <w:keepLines w:val="0"/>
        <w:pageBreakBefore w:val="0"/>
        <w:kinsoku/>
        <w:overflowPunct/>
        <w:topLinePunct/>
        <w:bidi w:val="0"/>
        <w:adjustRightInd w:val="0"/>
        <w:spacing w:after="298" w:afterLines="50"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加强应急管理宣传和科普教育，推动安全和应急科学知识宣传普及教育纳入国民教育体系。利用综合防灾减灾日、安全生产月、“119”消防宣传月等</w:t>
      </w:r>
      <w:r>
        <w:rPr>
          <w:rFonts w:hint="eastAsia" w:ascii="方正仿宋_GBK" w:hAnsi="方正仿宋_GBK" w:eastAsia="方正仿宋_GBK" w:cs="方正仿宋_GBK"/>
          <w:sz w:val="32"/>
          <w:szCs w:val="32"/>
          <w:lang w:eastAsia="zh-CN"/>
        </w:rPr>
        <w:t>时间</w:t>
      </w:r>
      <w:r>
        <w:rPr>
          <w:rFonts w:hint="eastAsia" w:ascii="方正仿宋_GBK" w:hAnsi="方正仿宋_GBK" w:eastAsia="方正仿宋_GBK" w:cs="方正仿宋_GBK"/>
          <w:sz w:val="32"/>
          <w:szCs w:val="32"/>
        </w:rPr>
        <w:t>节点，开展多种形式</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宣教活动。开发制作一批应急科普教材、读物、动漫、游戏、影视剧等公众教育系列产品，应用好乌兰牧骑等特色文艺表演形式，推动安全宣传进企业、进农村（牧区）、进社区、进学校、进家庭，推进消防救援站向社会开放，普及安全和应急知识。因地制宜建设面向公众的应急（安全）宣传教育体验馆，增强科普宣教的知识性、趣味性、交互性。全面加强应急管理新闻宣传队伍建设，通过政府购买服务的形式，依托文化传媒机构，积极开展宣传教育等活动，提高舆情应对和引导能力。</w:t>
      </w:r>
    </w:p>
    <w:tbl>
      <w:tblPr>
        <w:tblStyle w:val="14"/>
        <w:tblW w:w="885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8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454" w:hRule="atLeast"/>
        </w:trPr>
        <w:tc>
          <w:tcPr>
            <w:tcW w:w="8855" w:type="dxa"/>
            <w:noWrap/>
            <w:vAlign w:val="center"/>
          </w:tcPr>
          <w:p>
            <w:pPr>
              <w:keepNext w:val="0"/>
              <w:keepLines w:val="0"/>
              <w:pageBreakBefore w:val="0"/>
              <w:widowControl w:val="0"/>
              <w:kinsoku/>
              <w:wordWrap/>
              <w:overflowPunct/>
              <w:topLinePunct/>
              <w:autoSpaceDE/>
              <w:autoSpaceDN/>
              <w:bidi w:val="0"/>
              <w:adjustRightInd w:val="0"/>
              <w:snapToGrid/>
              <w:spacing w:before="178" w:beforeLines="30" w:after="178" w:afterLines="30" w:line="400" w:lineRule="exact"/>
              <w:ind w:firstLine="0" w:firstLineChars="0"/>
              <w:jc w:val="center"/>
              <w:textAlignment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0"/>
                <w:szCs w:val="30"/>
              </w:rPr>
              <w:t>专栏13 应急科普教育建设工程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Ex>
        <w:trPr>
          <w:trHeight w:val="1120" w:hRule="atLeast"/>
        </w:trPr>
        <w:tc>
          <w:tcPr>
            <w:tcW w:w="8855" w:type="dxa"/>
            <w:noWrap/>
            <w:vAlign w:val="center"/>
          </w:tcPr>
          <w:p>
            <w:pPr>
              <w:keepNext w:val="0"/>
              <w:keepLines w:val="0"/>
              <w:pageBreakBefore w:val="0"/>
              <w:widowControl w:val="0"/>
              <w:kinsoku/>
              <w:wordWrap/>
              <w:overflowPunct/>
              <w:topLinePunct/>
              <w:autoSpaceDE/>
              <w:autoSpaceDN/>
              <w:bidi w:val="0"/>
              <w:adjustRightInd w:val="0"/>
              <w:snapToGrid/>
              <w:spacing w:line="400" w:lineRule="exact"/>
              <w:ind w:left="0" w:leftChars="0" w:firstLine="56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建设1个全区综合性应急科普教育馆，开展应急避险、逃生自救、居家安全、防震减灾、公共安全、重点行业领域安全等科普教育，运用现代科技手段、前沿媒介实现安全文化教育功能；有条件的盟市、旗县（市、区）可建设面向公众的培训演练和自救互救体验馆。</w:t>
            </w:r>
          </w:p>
        </w:tc>
      </w:tr>
    </w:tbl>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520" w:name="_Toc26078"/>
      <w:bookmarkStart w:id="1521" w:name="_Toc18935"/>
      <w:bookmarkStart w:id="1522" w:name="_Toc11331"/>
      <w:bookmarkStart w:id="1523" w:name="_Toc3854"/>
      <w:bookmarkStart w:id="1524" w:name="_Toc15842"/>
      <w:bookmarkStart w:id="1525" w:name="_Toc10681"/>
      <w:bookmarkStart w:id="1526" w:name="_Toc20177"/>
      <w:bookmarkStart w:id="1527" w:name="_Toc23132"/>
      <w:bookmarkStart w:id="1528" w:name="_Toc2044"/>
      <w:bookmarkStart w:id="1529" w:name="_Toc14971"/>
      <w:bookmarkStart w:id="1530" w:name="_Toc8644"/>
      <w:bookmarkStart w:id="1531" w:name="_Toc252"/>
      <w:bookmarkStart w:id="1532" w:name="_Toc6750"/>
      <w:bookmarkStart w:id="1533" w:name="_Toc30214"/>
      <w:bookmarkStart w:id="1534" w:name="_Toc6984"/>
      <w:bookmarkStart w:id="1535" w:name="_Toc24537"/>
      <w:bookmarkStart w:id="1536" w:name="_Toc4813"/>
      <w:bookmarkStart w:id="1537" w:name="_Toc13884"/>
      <w:bookmarkStart w:id="1538" w:name="_Toc32306"/>
      <w:bookmarkStart w:id="1539" w:name="_Toc24470"/>
      <w:bookmarkStart w:id="1540" w:name="_Toc27404"/>
      <w:bookmarkStart w:id="1541" w:name="_Toc29159"/>
      <w:bookmarkStart w:id="1542" w:name="_Toc13623"/>
      <w:bookmarkStart w:id="1543" w:name="_Toc27136"/>
      <w:bookmarkStart w:id="1544" w:name="_Toc27036"/>
      <w:bookmarkStart w:id="1545" w:name="_Toc17489"/>
      <w:bookmarkStart w:id="1546" w:name="_Toc7456"/>
      <w:bookmarkStart w:id="1547" w:name="_Toc19799"/>
      <w:bookmarkStart w:id="1548" w:name="_Toc6588"/>
      <w:bookmarkStart w:id="1549" w:name="_Toc29989"/>
      <w:bookmarkStart w:id="1550" w:name="_Toc19474"/>
      <w:bookmarkStart w:id="1551" w:name="_Toc25579"/>
      <w:bookmarkStart w:id="1552" w:name="_Toc91769319"/>
      <w:bookmarkStart w:id="1553" w:name="_Toc13363"/>
      <w:bookmarkStart w:id="1554" w:name="_Toc20725"/>
      <w:bookmarkStart w:id="1555" w:name="_Toc2788"/>
      <w:bookmarkStart w:id="1556" w:name="_Toc26701"/>
      <w:bookmarkStart w:id="1557" w:name="_Toc11892"/>
      <w:bookmarkStart w:id="1558" w:name="_Toc87346257"/>
      <w:bookmarkStart w:id="1559" w:name="_Toc18156"/>
      <w:bookmarkStart w:id="1560" w:name="_Toc14349"/>
      <w:bookmarkStart w:id="1561" w:name="_Toc21479"/>
      <w:bookmarkStart w:id="1562" w:name="_Toc88078934"/>
      <w:bookmarkStart w:id="1563" w:name="_Toc12782"/>
      <w:bookmarkStart w:id="1564" w:name="_Toc26849"/>
      <w:bookmarkStart w:id="1565" w:name="_Toc15614"/>
      <w:bookmarkStart w:id="1566" w:name="_Toc14468"/>
      <w:bookmarkStart w:id="1567" w:name="_Toc8069"/>
      <w:bookmarkStart w:id="1568" w:name="_Toc30930"/>
      <w:bookmarkStart w:id="1569" w:name="_Toc19501"/>
      <w:bookmarkStart w:id="1570" w:name="_Toc7334"/>
      <w:bookmarkStart w:id="1571" w:name="_Toc21471"/>
      <w:bookmarkStart w:id="1572" w:name="_Toc28460"/>
      <w:bookmarkStart w:id="1573" w:name="_Toc4102"/>
      <w:bookmarkStart w:id="1574" w:name="_Toc6688"/>
      <w:bookmarkStart w:id="1575" w:name="_Toc29895"/>
      <w:r>
        <w:rPr>
          <w:rFonts w:hint="eastAsia" w:ascii="方正楷体_GBK" w:hAnsi="方正楷体_GBK" w:eastAsia="方正楷体_GBK" w:cs="方正楷体_GBK"/>
          <w:spacing w:val="8"/>
          <w:sz w:val="32"/>
          <w:szCs w:val="32"/>
          <w:lang w:eastAsia="zh-CN"/>
        </w:rPr>
        <w:t>第二节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发挥社会与市场作用</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pPr>
        <w:keepNext w:val="0"/>
        <w:keepLines w:val="0"/>
        <w:pageBreakBefore w:val="0"/>
        <w:kinsoku/>
        <w:overflowPunct/>
        <w:topLinePunct/>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进应急社会化服务发展。推进应急管理类学术组织发展，深入开展课题研究和学术交流。依托共青团、红十字会、慈善总会等社团组织，充分发挥志愿者作用，完善政府支持、项目化管理、社会化运作的应急志愿服务长效机制。建立激励机制，表彰奖励贡献突出的社会应急力量。将社会应急力量纳入政府购买服务范围，鼓励行业协会、专业技术服务机构和保险机构参与风险评估、隐患排查治理、检测检验、应急演练、教育培训等活动。</w:t>
      </w:r>
    </w:p>
    <w:p>
      <w:pPr>
        <w:keepNext w:val="0"/>
        <w:keepLines w:val="0"/>
        <w:pageBreakBefore w:val="0"/>
        <w:kinsoku/>
        <w:overflowPunct/>
        <w:topLinePunct/>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信用体系建设。建立紧急征用、志愿捐助、灾害救助和恢复重建等方面的信用制度。推动负有安全生产监督管理职责的部门建立完善诚信管理制度，强化安全生产诚信评价、不良信息记录和联合惩戒管理。对安全生产应急管理领域严重失信主体实施联合惩戒。</w:t>
      </w:r>
    </w:p>
    <w:p>
      <w:pPr>
        <w:keepNext w:val="0"/>
        <w:keepLines w:val="0"/>
        <w:pageBreakBefore w:val="0"/>
        <w:kinsoku/>
        <w:overflowPunct/>
        <w:topLinePunct/>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有效发挥灾害事故保险作用。</w:t>
      </w:r>
      <w:r>
        <w:rPr>
          <w:rFonts w:hint="eastAsia" w:ascii="方正仿宋_GBK" w:hAnsi="方正仿宋_GBK" w:eastAsia="方正仿宋_GBK" w:cs="方正仿宋_GBK"/>
          <w:sz w:val="32"/>
          <w:szCs w:val="32"/>
          <w:lang w:eastAsia="zh-CN"/>
        </w:rPr>
        <w:t>充分发挥</w:t>
      </w:r>
      <w:r>
        <w:rPr>
          <w:rFonts w:hint="eastAsia" w:ascii="方正仿宋_GBK" w:hAnsi="方正仿宋_GBK" w:eastAsia="方正仿宋_GBK" w:cs="方正仿宋_GBK"/>
          <w:sz w:val="32"/>
          <w:szCs w:val="32"/>
        </w:rPr>
        <w:t>保险等市场机制在风险防控、损失补偿、恢复重建等方面的积极作用。研究推广巨灾保险制度，在高危行业领域推进安全生产责任保险，</w:t>
      </w:r>
      <w:r>
        <w:rPr>
          <w:rFonts w:hint="eastAsia" w:ascii="方正仿宋_GBK" w:hAnsi="方正仿宋_GBK" w:eastAsia="方正仿宋_GBK" w:cs="方正仿宋_GBK"/>
          <w:sz w:val="32"/>
          <w:szCs w:val="32"/>
          <w:lang w:eastAsia="zh-CN"/>
        </w:rPr>
        <w:t>不断</w:t>
      </w:r>
      <w:r>
        <w:rPr>
          <w:rFonts w:hint="eastAsia" w:ascii="方正仿宋_GBK" w:hAnsi="方正仿宋_GBK" w:eastAsia="方正仿宋_GBK" w:cs="方正仿宋_GBK"/>
          <w:sz w:val="32"/>
          <w:szCs w:val="32"/>
        </w:rPr>
        <w:t>丰富应急救援人员人身安全保险品种。</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576" w:name="_Toc26592"/>
      <w:bookmarkStart w:id="1577" w:name="_Toc17647"/>
      <w:bookmarkStart w:id="1578" w:name="_Toc9706"/>
      <w:bookmarkStart w:id="1579" w:name="_Toc25312"/>
      <w:bookmarkStart w:id="1580" w:name="_Toc19457"/>
      <w:bookmarkStart w:id="1581" w:name="_Toc26831"/>
      <w:bookmarkStart w:id="1582" w:name="_Toc5407"/>
      <w:bookmarkStart w:id="1583" w:name="_Toc12450"/>
      <w:bookmarkStart w:id="1584" w:name="_Toc26771"/>
      <w:bookmarkStart w:id="1585" w:name="_Toc620"/>
      <w:bookmarkStart w:id="1586" w:name="_Toc26630"/>
      <w:bookmarkStart w:id="1587" w:name="_Toc22406"/>
      <w:bookmarkStart w:id="1588" w:name="_Toc8684"/>
      <w:bookmarkStart w:id="1589" w:name="_Toc21149"/>
      <w:bookmarkStart w:id="1590" w:name="_Toc27137"/>
      <w:bookmarkStart w:id="1591" w:name="_Toc27104"/>
      <w:bookmarkStart w:id="1592" w:name="_Toc29257"/>
      <w:bookmarkStart w:id="1593" w:name="_Toc18338"/>
      <w:bookmarkStart w:id="1594" w:name="_Toc3039"/>
      <w:bookmarkStart w:id="1595" w:name="_Toc4596"/>
      <w:bookmarkStart w:id="1596" w:name="_Toc2080"/>
      <w:bookmarkStart w:id="1597" w:name="_Toc18705"/>
      <w:bookmarkStart w:id="1598" w:name="_Toc30809"/>
      <w:bookmarkStart w:id="1599" w:name="_Toc32193"/>
      <w:bookmarkStart w:id="1600" w:name="_Toc30623"/>
      <w:bookmarkStart w:id="1601" w:name="_Toc88078935"/>
      <w:bookmarkStart w:id="1602" w:name="_Toc91769320"/>
      <w:bookmarkStart w:id="1603" w:name="_Toc7840"/>
      <w:bookmarkStart w:id="1604" w:name="_Toc19522"/>
      <w:bookmarkStart w:id="1605" w:name="_Toc87346258"/>
      <w:bookmarkStart w:id="1606" w:name="_Toc13524"/>
      <w:r>
        <w:rPr>
          <w:rFonts w:hint="eastAsia" w:ascii="方正楷体_GBK" w:hAnsi="方正楷体_GBK" w:eastAsia="方正楷体_GBK" w:cs="方正楷体_GBK"/>
          <w:spacing w:val="8"/>
          <w:sz w:val="32"/>
          <w:szCs w:val="32"/>
          <w:lang w:eastAsia="zh-CN"/>
        </w:rPr>
        <w:t>第三节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创建安全发展城市</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pPr>
        <w:keepNext w:val="0"/>
        <w:keepLines w:val="0"/>
        <w:pageBreakBefore w:val="0"/>
        <w:kinsoku/>
        <w:overflowPunct/>
        <w:topLinePunct/>
        <w:bidi w:val="0"/>
        <w:spacing w:line="580" w:lineRule="exact"/>
        <w:ind w:firstLine="632"/>
        <w:rPr>
          <w:rFonts w:hint="eastAsia" w:ascii="方正仿宋_GBK" w:hAnsi="方正仿宋_GBK" w:eastAsia="方正仿宋_GBK" w:cs="方正仿宋_GBK"/>
          <w:spacing w:val="6"/>
          <w:sz w:val="32"/>
          <w:szCs w:val="32"/>
          <w:shd w:val="clear" w:color="auto" w:fill="FFFFFF"/>
        </w:rPr>
      </w:pPr>
      <w:r>
        <w:rPr>
          <w:rFonts w:hint="eastAsia" w:ascii="方正仿宋_GBK" w:hAnsi="方正仿宋_GBK" w:eastAsia="方正仿宋_GBK" w:cs="方正仿宋_GBK"/>
          <w:spacing w:val="6"/>
          <w:sz w:val="32"/>
          <w:szCs w:val="32"/>
        </w:rPr>
        <w:t>全面加强城市安全源头治理、风险防控、监督管理、保障能力、应急救援等工作，</w:t>
      </w:r>
      <w:r>
        <w:rPr>
          <w:rFonts w:hint="eastAsia" w:ascii="方正仿宋_GBK" w:hAnsi="方正仿宋_GBK" w:eastAsia="方正仿宋_GBK" w:cs="方正仿宋_GBK"/>
          <w:spacing w:val="6"/>
          <w:sz w:val="32"/>
          <w:szCs w:val="32"/>
          <w:lang w:eastAsia="zh-CN"/>
        </w:rPr>
        <w:t>着力</w:t>
      </w:r>
      <w:r>
        <w:rPr>
          <w:rFonts w:hint="eastAsia" w:ascii="方正仿宋_GBK" w:hAnsi="方正仿宋_GBK" w:eastAsia="方正仿宋_GBK" w:cs="方正仿宋_GBK"/>
          <w:spacing w:val="6"/>
          <w:sz w:val="32"/>
          <w:szCs w:val="32"/>
        </w:rPr>
        <w:t>解决城市安全基础薄弱、安全管理水平与现代化城市发展要求不适应不协调等问题，切实提高城市安全风险的防控能力，全面提升城市安全发展水平，</w:t>
      </w:r>
      <w:r>
        <w:rPr>
          <w:rFonts w:hint="eastAsia" w:ascii="方正仿宋_GBK" w:hAnsi="方正仿宋_GBK" w:eastAsia="方正仿宋_GBK" w:cs="方正仿宋_GBK"/>
          <w:spacing w:val="6"/>
          <w:sz w:val="32"/>
          <w:szCs w:val="32"/>
          <w:shd w:val="clear" w:color="auto" w:fill="FFFFFF"/>
        </w:rPr>
        <w:t>加快建成以中心城区为基础，带动周边、辐射</w:t>
      </w:r>
      <w:r>
        <w:rPr>
          <w:rFonts w:hint="eastAsia" w:ascii="方正仿宋_GBK" w:hAnsi="方正仿宋_GBK" w:eastAsia="方正仿宋_GBK" w:cs="方正仿宋_GBK"/>
          <w:spacing w:val="6"/>
          <w:sz w:val="32"/>
          <w:szCs w:val="32"/>
        </w:rPr>
        <w:t>县乡</w:t>
      </w:r>
      <w:r>
        <w:rPr>
          <w:rFonts w:hint="eastAsia" w:ascii="方正仿宋_GBK" w:hAnsi="方正仿宋_GBK" w:eastAsia="方正仿宋_GBK" w:cs="方正仿宋_GBK"/>
          <w:spacing w:val="6"/>
          <w:sz w:val="32"/>
          <w:szCs w:val="32"/>
          <w:shd w:val="clear" w:color="auto" w:fill="FFFFFF"/>
        </w:rPr>
        <w:t>、惠及民生的安全发展型城市。</w:t>
      </w:r>
    </w:p>
    <w:p>
      <w:pPr>
        <w:keepNext w:val="0"/>
        <w:keepLines w:val="0"/>
        <w:pageBreakBefore w:val="0"/>
        <w:kinsoku/>
        <w:overflowPunct/>
        <w:topLinePunct/>
        <w:bidi w:val="0"/>
        <w:adjustRightInd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607" w:name="_Toc15655"/>
      <w:bookmarkStart w:id="1608" w:name="_Toc29905"/>
      <w:bookmarkStart w:id="1609" w:name="_Toc30451"/>
      <w:bookmarkStart w:id="1610" w:name="_Toc8346"/>
      <w:bookmarkStart w:id="1611" w:name="_Toc4007"/>
      <w:bookmarkStart w:id="1612" w:name="_Toc91769321"/>
      <w:bookmarkStart w:id="1613" w:name="_Toc88078936"/>
      <w:bookmarkStart w:id="1614" w:name="_Toc25136"/>
      <w:bookmarkStart w:id="1615" w:name="_Toc29466"/>
      <w:bookmarkStart w:id="1616" w:name="_Toc22571"/>
      <w:bookmarkStart w:id="1617" w:name="_Toc30911"/>
      <w:r>
        <w:rPr>
          <w:rFonts w:hint="eastAsia" w:ascii="方正楷体_GBK" w:hAnsi="方正楷体_GBK" w:eastAsia="方正楷体_GBK" w:cs="方正楷体_GBK"/>
          <w:spacing w:val="8"/>
          <w:sz w:val="32"/>
          <w:szCs w:val="32"/>
          <w:lang w:eastAsia="zh-CN"/>
        </w:rPr>
        <w:t>第四节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加强综合应急专家队伍建设</w:t>
      </w:r>
      <w:bookmarkEnd w:id="1607"/>
      <w:bookmarkEnd w:id="1608"/>
      <w:bookmarkEnd w:id="1609"/>
      <w:bookmarkEnd w:id="1610"/>
      <w:bookmarkEnd w:id="1611"/>
      <w:bookmarkEnd w:id="1612"/>
      <w:bookmarkEnd w:id="1613"/>
      <w:bookmarkEnd w:id="1614"/>
      <w:bookmarkEnd w:id="1615"/>
      <w:bookmarkEnd w:id="1616"/>
      <w:bookmarkEnd w:id="1617"/>
    </w:p>
    <w:p>
      <w:pPr>
        <w:keepNext w:val="0"/>
        <w:keepLines w:val="0"/>
        <w:pageBreakBefore w:val="0"/>
        <w:kinsoku/>
        <w:overflowPunct/>
        <w:topLinePunct/>
        <w:bidi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化安全生产、应急管理专家队伍建设，完善日常专家管理，建立专家咨询委员会和突发事件首席专家制度，构建全区共享的专家资源平台，充分发挥各领域专家在决策咨询、标准制定、应急会商、安全诊断、救援处置、调查评估等方面的作用。</w:t>
      </w:r>
    </w:p>
    <w:p>
      <w:pPr>
        <w:keepNext w:val="0"/>
        <w:keepLines w:val="0"/>
        <w:pageBreakBefore w:val="0"/>
        <w:shd w:val="clear" w:color="auto" w:fill="FFFFFF"/>
        <w:kinsoku/>
        <w:overflowPunct/>
        <w:topLinePunct/>
        <w:bidi w:val="0"/>
        <w:spacing w:before="298" w:beforeLines="50" w:after="298" w:afterLines="50" w:line="580" w:lineRule="exact"/>
        <w:jc w:val="center"/>
        <w:outlineLvl w:val="0"/>
        <w:rPr>
          <w:rFonts w:hint="eastAsia" w:ascii="方正黑体_GBK" w:hAnsi="方正黑体_GBK" w:eastAsia="方正黑体_GBK" w:cs="方正黑体_GBK"/>
          <w:strike/>
          <w:spacing w:val="8"/>
          <w:sz w:val="32"/>
          <w:szCs w:val="32"/>
        </w:rPr>
      </w:pPr>
      <w:bookmarkStart w:id="1618" w:name="_Toc88078937"/>
      <w:bookmarkStart w:id="1619" w:name="_Toc14023"/>
      <w:bookmarkStart w:id="1620" w:name="_Toc22658"/>
      <w:bookmarkStart w:id="1621" w:name="_Toc8078"/>
      <w:bookmarkStart w:id="1622" w:name="_Toc23090"/>
      <w:bookmarkStart w:id="1623" w:name="_Toc12069"/>
      <w:bookmarkStart w:id="1624" w:name="_Toc12887"/>
      <w:bookmarkStart w:id="1625" w:name="_Toc11019"/>
      <w:bookmarkStart w:id="1626" w:name="_Toc9474"/>
      <w:bookmarkStart w:id="1627" w:name="_Toc28026"/>
      <w:bookmarkStart w:id="1628" w:name="_Toc23774"/>
      <w:bookmarkStart w:id="1629" w:name="_Toc91769322"/>
      <w:bookmarkStart w:id="1630" w:name="_Toc13015"/>
      <w:bookmarkStart w:id="1631" w:name="_Toc9752"/>
      <w:bookmarkStart w:id="1632" w:name="_Toc19179"/>
      <w:bookmarkStart w:id="1633" w:name="_Toc8975"/>
      <w:bookmarkStart w:id="1634" w:name="_Toc9411"/>
      <w:bookmarkStart w:id="1635" w:name="_Toc19631"/>
      <w:bookmarkStart w:id="1636" w:name="_Toc12955"/>
      <w:bookmarkStart w:id="1637" w:name="_Toc3232"/>
      <w:bookmarkStart w:id="1638" w:name="_Toc17086"/>
      <w:bookmarkStart w:id="1639" w:name="_Toc9656"/>
      <w:bookmarkStart w:id="1640" w:name="_Toc87346259"/>
      <w:bookmarkStart w:id="1641" w:name="_Toc27053"/>
      <w:bookmarkStart w:id="1642" w:name="_Toc31764"/>
      <w:bookmarkStart w:id="1643" w:name="_Toc28788"/>
      <w:bookmarkStart w:id="1644" w:name="_Toc15052"/>
      <w:bookmarkStart w:id="1645" w:name="_Toc10781"/>
      <w:bookmarkStart w:id="1646" w:name="_Toc26974"/>
      <w:bookmarkStart w:id="1647" w:name="_Toc20847"/>
      <w:bookmarkStart w:id="1648" w:name="_Toc6685"/>
      <w:r>
        <w:rPr>
          <w:rFonts w:hint="eastAsia" w:ascii="方正黑体_GBK" w:hAnsi="方正黑体_GBK" w:eastAsia="方正黑体_GBK" w:cs="方正黑体_GBK"/>
          <w:sz w:val="32"/>
          <w:szCs w:val="32"/>
        </w:rPr>
        <w:t>第八章 加强基础保障建设</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649" w:name="_Toc17410"/>
      <w:bookmarkStart w:id="1650" w:name="_Toc5824"/>
      <w:bookmarkStart w:id="1651" w:name="_Toc19972"/>
      <w:bookmarkStart w:id="1652" w:name="_Toc91769323"/>
      <w:bookmarkStart w:id="1653" w:name="_Toc88078938"/>
      <w:bookmarkStart w:id="1654" w:name="_Toc8744"/>
      <w:bookmarkStart w:id="1655" w:name="_Toc12429"/>
      <w:bookmarkStart w:id="1656" w:name="_Toc15512"/>
      <w:bookmarkStart w:id="1657" w:name="_Toc12516"/>
      <w:bookmarkStart w:id="1658" w:name="_Toc26473"/>
      <w:bookmarkStart w:id="1659" w:name="_Toc1046"/>
      <w:bookmarkStart w:id="1660" w:name="_Toc12901"/>
      <w:bookmarkStart w:id="1661" w:name="_Toc14521"/>
      <w:bookmarkStart w:id="1662" w:name="_Toc22801"/>
      <w:bookmarkStart w:id="1663" w:name="_Toc16449"/>
      <w:bookmarkStart w:id="1664" w:name="_Toc15474"/>
      <w:bookmarkStart w:id="1665" w:name="_Toc1499"/>
      <w:bookmarkStart w:id="1666" w:name="_Toc23968"/>
      <w:bookmarkStart w:id="1667" w:name="_Toc19791"/>
      <w:bookmarkStart w:id="1668" w:name="_Toc28714"/>
      <w:bookmarkStart w:id="1669" w:name="_Toc19165"/>
      <w:bookmarkStart w:id="1670" w:name="_Toc24741"/>
      <w:bookmarkStart w:id="1671" w:name="_Toc17776"/>
      <w:bookmarkStart w:id="1672" w:name="_Toc4966"/>
      <w:bookmarkStart w:id="1673" w:name="_Toc24713"/>
      <w:bookmarkStart w:id="1674" w:name="_Toc12949"/>
      <w:bookmarkStart w:id="1675" w:name="_Toc10825"/>
      <w:bookmarkStart w:id="1676" w:name="_Toc87346260"/>
      <w:bookmarkStart w:id="1677" w:name="_Toc25159"/>
      <w:bookmarkStart w:id="1678" w:name="_Toc9927"/>
      <w:bookmarkStart w:id="1679" w:name="_Toc3457"/>
      <w:r>
        <w:rPr>
          <w:rFonts w:hint="eastAsia" w:ascii="方正楷体_GBK" w:hAnsi="方正楷体_GBK" w:eastAsia="方正楷体_GBK" w:cs="方正楷体_GBK"/>
          <w:spacing w:val="8"/>
          <w:sz w:val="32"/>
          <w:szCs w:val="32"/>
          <w:lang w:eastAsia="zh-CN"/>
        </w:rPr>
        <w:t>第一节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夯实基层治理基础</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bookmarkEnd w:id="1679"/>
    <w:p>
      <w:pPr>
        <w:keepNext w:val="0"/>
        <w:keepLines w:val="0"/>
        <w:pageBreakBefore w:val="0"/>
        <w:kinsoku/>
        <w:overflowPunct/>
        <w:topLinePunct/>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完善基层应急管理组织体系。明确苏木乡镇（街道）党委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及其领导班子成员应急管理职责，落实属地管理责任。苏木乡镇（街道）平安建设办公室要加强应急管理指挥、协调能力建设，行政村（社区）设立应急服务站（点），旗县级以上各功能区明确承担应急管理、安全生产等相关职责的机构。严格基层新增执法人员专业背景和选拔条件，加大培训教育力度，提升监管人员专业素质和技术能力。</w:t>
      </w:r>
    </w:p>
    <w:p>
      <w:pPr>
        <w:keepNext w:val="0"/>
        <w:keepLines w:val="0"/>
        <w:pageBreakBefore w:val="0"/>
        <w:kinsoku/>
        <w:overflowPunct/>
        <w:topLinePunct/>
        <w:bidi w:val="0"/>
        <w:adjustRightInd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强化应急网格化管理。加强“旗县（市、区）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苏木乡镇（街道）</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嘎查村（社区）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嘎查村民小组（居民小区）”四级网格建设，根据工作实际，配备专职或兼职网格员。整合现有各类基层信息员资源，打造专兼结合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一岗多能的灾害信息员队伍。建立完善基层应急网格化系统，对各类安全生产、自然灾害风险、</w:t>
      </w:r>
      <w:r>
        <w:rPr>
          <w:rFonts w:hint="eastAsia" w:ascii="方正仿宋_GBK" w:hAnsi="方正仿宋_GBK" w:eastAsia="方正仿宋_GBK" w:cs="方正仿宋_GBK"/>
          <w:spacing w:val="-6"/>
          <w:sz w:val="32"/>
          <w:szCs w:val="32"/>
        </w:rPr>
        <w:t>隐患、问题等数据信息收集上报，实现对基层隐患风险的动态监管。</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z w:val="32"/>
          <w:szCs w:val="32"/>
        </w:rPr>
      </w:pPr>
      <w:bookmarkStart w:id="1680" w:name="_Toc31806"/>
      <w:bookmarkStart w:id="1681" w:name="_Toc23667"/>
      <w:bookmarkStart w:id="1682" w:name="_Toc91769324"/>
      <w:bookmarkStart w:id="1683" w:name="_Toc15734"/>
      <w:bookmarkStart w:id="1684" w:name="_Toc30605"/>
      <w:bookmarkStart w:id="1685" w:name="_Toc26600"/>
      <w:bookmarkStart w:id="1686" w:name="_Toc14955"/>
      <w:bookmarkStart w:id="1687" w:name="_Toc15548"/>
      <w:bookmarkStart w:id="1688" w:name="_Toc32578"/>
      <w:bookmarkStart w:id="1689" w:name="_Toc87346261"/>
      <w:bookmarkStart w:id="1690" w:name="_Toc830"/>
      <w:bookmarkStart w:id="1691" w:name="_Toc24430"/>
      <w:bookmarkStart w:id="1692" w:name="_Toc31731"/>
      <w:bookmarkStart w:id="1693" w:name="_Toc6329"/>
      <w:bookmarkStart w:id="1694" w:name="_Toc2622"/>
      <w:bookmarkStart w:id="1695" w:name="_Toc8955"/>
      <w:bookmarkStart w:id="1696" w:name="_Toc29674"/>
      <w:bookmarkStart w:id="1697" w:name="_Toc5399"/>
      <w:bookmarkStart w:id="1698" w:name="_Toc1261"/>
      <w:bookmarkStart w:id="1699" w:name="_Toc15163"/>
      <w:bookmarkStart w:id="1700" w:name="_Toc88078939"/>
      <w:bookmarkStart w:id="1701" w:name="_Toc24832"/>
      <w:bookmarkStart w:id="1702" w:name="_Toc23319"/>
      <w:bookmarkStart w:id="1703" w:name="_Toc11195"/>
      <w:bookmarkStart w:id="1704" w:name="_Toc32368"/>
      <w:bookmarkStart w:id="1705" w:name="_Toc18221"/>
      <w:bookmarkStart w:id="1706" w:name="_Toc13169"/>
      <w:bookmarkStart w:id="1707" w:name="_Toc23272"/>
      <w:bookmarkStart w:id="1708" w:name="_Toc30130"/>
      <w:r>
        <w:rPr>
          <w:rFonts w:hint="eastAsia" w:ascii="方正楷体_GBK" w:hAnsi="方正楷体_GBK" w:eastAsia="方正楷体_GBK" w:cs="方正楷体_GBK"/>
          <w:spacing w:val="8"/>
          <w:sz w:val="32"/>
          <w:szCs w:val="32"/>
          <w:lang w:eastAsia="zh-CN"/>
        </w:rPr>
        <w:t>第二节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强化应急人才支撑</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pPr>
        <w:keepNext w:val="0"/>
        <w:keepLines w:val="0"/>
        <w:pageBreakBefore w:val="0"/>
        <w:kinsoku/>
        <w:overflowPunct/>
        <w:topLinePunct/>
        <w:autoSpaceDE w:val="0"/>
        <w:autoSpaceDN w:val="0"/>
        <w:bidi w:val="0"/>
        <w:adjustRightInd w:val="0"/>
        <w:spacing w:line="580" w:lineRule="exact"/>
        <w:ind w:firstLine="664"/>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8"/>
          <w:sz w:val="32"/>
          <w:szCs w:val="32"/>
        </w:rPr>
        <w:t>完善专业人才培养。</w:t>
      </w:r>
      <w:r>
        <w:rPr>
          <w:rFonts w:hint="eastAsia" w:ascii="方正仿宋_GBK" w:hAnsi="方正仿宋_GBK" w:eastAsia="方正仿宋_GBK" w:cs="方正仿宋_GBK"/>
          <w:sz w:val="32"/>
          <w:szCs w:val="32"/>
        </w:rPr>
        <w:t>加快应急管理人才培养体系建设，推动完善专业人才培养招录政策，拓展急需紧缺人才培育供给渠道，着力形成人才集聚、培养、使用、评价机制，构建流动顺畅、开放包容、运行高效的人才体系。</w:t>
      </w:r>
    </w:p>
    <w:p>
      <w:pPr>
        <w:keepNext w:val="0"/>
        <w:keepLines w:val="0"/>
        <w:pageBreakBefore w:val="0"/>
        <w:kinsoku/>
        <w:overflowPunct/>
        <w:topLinePunct/>
        <w:autoSpaceDE w:val="0"/>
        <w:autoSpaceDN w:val="0"/>
        <w:bidi w:val="0"/>
        <w:adjustRightInd w:val="0"/>
        <w:spacing w:line="580" w:lineRule="exact"/>
        <w:ind w:firstLine="664"/>
        <w:rPr>
          <w:rFonts w:hint="eastAsia" w:ascii="方正仿宋_GBK" w:hAnsi="方正仿宋_GBK" w:eastAsia="方正仿宋_GBK" w:cs="方正仿宋_GBK"/>
          <w:sz w:val="32"/>
          <w:szCs w:val="32"/>
        </w:rPr>
      </w:pPr>
      <w:bookmarkStart w:id="1709" w:name="_Hlk88504211"/>
      <w:r>
        <w:rPr>
          <w:rFonts w:hint="eastAsia" w:ascii="方正仿宋_GBK" w:hAnsi="方正仿宋_GBK" w:eastAsia="方正仿宋_GBK" w:cs="方正仿宋_GBK"/>
          <w:spacing w:val="8"/>
          <w:sz w:val="32"/>
          <w:szCs w:val="32"/>
        </w:rPr>
        <w:t>加强干部队伍建设</w:t>
      </w:r>
      <w:bookmarkEnd w:id="1709"/>
      <w:r>
        <w:rPr>
          <w:rFonts w:hint="eastAsia" w:ascii="方正仿宋_GBK" w:hAnsi="方正仿宋_GBK" w:eastAsia="方正仿宋_GBK" w:cs="方正仿宋_GBK"/>
          <w:spacing w:val="8"/>
          <w:sz w:val="32"/>
          <w:szCs w:val="32"/>
        </w:rPr>
        <w:t>。</w:t>
      </w:r>
      <w:r>
        <w:rPr>
          <w:rFonts w:hint="eastAsia" w:ascii="方正仿宋_GBK" w:hAnsi="方正仿宋_GBK" w:eastAsia="方正仿宋_GBK" w:cs="方正仿宋_GBK"/>
          <w:sz w:val="32"/>
          <w:szCs w:val="32"/>
        </w:rPr>
        <w:t>完善领导干部培训机制，加强与各级党校、行政学院合作，将应急管理纳入党政领导干部必修内容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健全应急管理系统干部培养与使用体系，按规定开展干部双向挂职。强化应急救援和安全监管执法人员业务培训，定期进行技能考核，将科技信息化手段纳入培训考核全过程，全面提升应急救援和行政执法综合能力。</w:t>
      </w:r>
    </w:p>
    <w:p>
      <w:pPr>
        <w:keepNext w:val="0"/>
        <w:keepLines w:val="0"/>
        <w:pageBreakBefore w:val="0"/>
        <w:kinsoku/>
        <w:overflowPunct/>
        <w:topLinePunct/>
        <w:bidi w:val="0"/>
        <w:adjustRightInd w:val="0"/>
        <w:spacing w:line="580" w:lineRule="exact"/>
        <w:ind w:firstLine="664"/>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健全激励保障措施。落实应急管理部门岗位津贴、值班补贴、职业危害防护、人身意外伤害保险和抚恤优待等政策，积极参加工伤保险，推动基层应急管理队伍基本工作条件保障，着力解决应急管理干部队伍后顾之忧。建立健全应急管理表彰奖励制度，建立面向基层的职业荣誉体系和奖励制度，对重大行动中表现突出的集体和个人及时给予记功奖励，切实增强职业荣誉感、使命感、归属感。</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710" w:name="_Toc87346262"/>
      <w:bookmarkStart w:id="1711" w:name="_Toc91769325"/>
      <w:bookmarkStart w:id="1712" w:name="_Toc30917"/>
      <w:bookmarkStart w:id="1713" w:name="_Toc28885"/>
      <w:bookmarkStart w:id="1714" w:name="_Toc19147"/>
      <w:bookmarkStart w:id="1715" w:name="_Toc31744"/>
      <w:bookmarkStart w:id="1716" w:name="_Toc9316"/>
      <w:bookmarkStart w:id="1717" w:name="_Toc17772"/>
      <w:bookmarkStart w:id="1718" w:name="_Toc23224"/>
      <w:bookmarkStart w:id="1719" w:name="_Toc13046"/>
      <w:bookmarkStart w:id="1720" w:name="_Toc30745"/>
      <w:bookmarkStart w:id="1721" w:name="_Toc8971"/>
      <w:bookmarkStart w:id="1722" w:name="_Toc88078940"/>
      <w:bookmarkStart w:id="1723" w:name="_Toc659"/>
      <w:bookmarkStart w:id="1724" w:name="_Toc32084"/>
      <w:bookmarkStart w:id="1725" w:name="_Toc11539"/>
      <w:bookmarkStart w:id="1726" w:name="_Toc17873"/>
      <w:bookmarkStart w:id="1727" w:name="_Toc25062"/>
      <w:bookmarkStart w:id="1728" w:name="_Toc27413"/>
      <w:bookmarkStart w:id="1729" w:name="_Toc18574"/>
      <w:bookmarkStart w:id="1730" w:name="_Toc28719"/>
      <w:bookmarkStart w:id="1731" w:name="_Toc24335"/>
      <w:r>
        <w:rPr>
          <w:rFonts w:hint="eastAsia" w:ascii="方正楷体_GBK" w:hAnsi="方正楷体_GBK" w:eastAsia="方正楷体_GBK" w:cs="方正楷体_GBK"/>
          <w:spacing w:val="8"/>
          <w:sz w:val="32"/>
          <w:szCs w:val="32"/>
          <w:lang w:eastAsia="zh-CN"/>
        </w:rPr>
        <w:t>第三节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严格考核评价体系</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p>
    <w:p>
      <w:pPr>
        <w:keepNext w:val="0"/>
        <w:keepLines w:val="0"/>
        <w:pageBreakBefore w:val="0"/>
        <w:kinsoku/>
        <w:overflowPunct/>
        <w:topLinePunct/>
        <w:bidi w:val="0"/>
        <w:spacing w:line="580" w:lineRule="exact"/>
        <w:ind w:firstLine="664"/>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完善基层应急管理工作考核办法，综合运用巡查、督查等手段，</w:t>
      </w:r>
      <w:r>
        <w:rPr>
          <w:rFonts w:hint="eastAsia" w:ascii="方正仿宋_GBK" w:hAnsi="方正仿宋_GBK" w:eastAsia="方正仿宋_GBK" w:cs="方正仿宋_GBK"/>
          <w:spacing w:val="8"/>
          <w:sz w:val="32"/>
          <w:szCs w:val="32"/>
          <w:lang w:eastAsia="zh-CN"/>
        </w:rPr>
        <w:t>强</w:t>
      </w:r>
      <w:r>
        <w:rPr>
          <w:rFonts w:hint="eastAsia" w:ascii="方正仿宋_GBK" w:hAnsi="方正仿宋_GBK" w:eastAsia="方正仿宋_GBK" w:cs="方正仿宋_GBK"/>
          <w:spacing w:val="8"/>
          <w:sz w:val="32"/>
          <w:szCs w:val="32"/>
        </w:rPr>
        <w:t>化安全生产责任落实情况的监督考核，将安全生产考核巡查结果纳入高质量发展考核指标体系。建立动态评价指数，构建应急管理动态考核系统，强化对安全生产、防灾减灾等工作过程性成效的量化监督。严格落实安全生产“一票否决”，实行对安全生产领域“一案双查”，严格责任追究。完善事故调查评估，强化事故警示教育，加强对事故查处和责任追究落实情况的跟踪评估。</w:t>
      </w:r>
    </w:p>
    <w:p>
      <w:pPr>
        <w:keepNext w:val="0"/>
        <w:keepLines w:val="0"/>
        <w:pageBreakBefore w:val="0"/>
        <w:kinsoku/>
        <w:overflowPunct/>
        <w:topLinePunct/>
        <w:bidi w:val="0"/>
        <w:spacing w:before="298" w:beforeLines="50" w:after="298" w:afterLines="50" w:line="580" w:lineRule="exact"/>
        <w:jc w:val="center"/>
        <w:outlineLvl w:val="0"/>
        <w:rPr>
          <w:rFonts w:hint="eastAsia" w:ascii="方正黑体_GBK" w:hAnsi="方正黑体_GBK" w:eastAsia="方正黑体_GBK" w:cs="方正黑体_GBK"/>
          <w:spacing w:val="8"/>
          <w:sz w:val="32"/>
          <w:szCs w:val="32"/>
        </w:rPr>
      </w:pPr>
      <w:bookmarkStart w:id="1732" w:name="_Toc8857"/>
      <w:bookmarkStart w:id="1733" w:name="_Toc22988"/>
      <w:bookmarkStart w:id="1734" w:name="_Toc2303"/>
      <w:bookmarkStart w:id="1735" w:name="_Toc19477"/>
      <w:bookmarkStart w:id="1736" w:name="_Toc88078941"/>
      <w:bookmarkStart w:id="1737" w:name="_Toc7469"/>
      <w:bookmarkStart w:id="1738" w:name="_Toc15071"/>
      <w:bookmarkStart w:id="1739" w:name="_Toc91769326"/>
      <w:bookmarkStart w:id="1740" w:name="_Toc18492"/>
      <w:bookmarkStart w:id="1741" w:name="_Toc75374687"/>
      <w:bookmarkStart w:id="1742" w:name="_Toc13049"/>
      <w:bookmarkStart w:id="1743" w:name="_Toc2747"/>
      <w:bookmarkStart w:id="1744" w:name="_Toc22192"/>
      <w:bookmarkStart w:id="1745" w:name="_Toc28327"/>
      <w:bookmarkStart w:id="1746" w:name="_Toc3822"/>
      <w:bookmarkStart w:id="1747" w:name="_Toc23581"/>
      <w:bookmarkStart w:id="1748" w:name="_Toc17328"/>
      <w:bookmarkStart w:id="1749" w:name="_Toc29698"/>
      <w:bookmarkStart w:id="1750" w:name="_Toc1648"/>
      <w:bookmarkStart w:id="1751" w:name="_Toc12398"/>
      <w:bookmarkStart w:id="1752" w:name="_Toc19270"/>
      <w:bookmarkStart w:id="1753" w:name="_Toc19923"/>
      <w:bookmarkStart w:id="1754" w:name="_Toc87346264"/>
      <w:bookmarkStart w:id="1755" w:name="_Toc10992"/>
      <w:bookmarkStart w:id="1756" w:name="_Toc12630"/>
      <w:bookmarkStart w:id="1757" w:name="_Toc31285"/>
      <w:bookmarkStart w:id="1758" w:name="_Toc30537"/>
      <w:bookmarkStart w:id="1759" w:name="_Toc9659"/>
      <w:bookmarkStart w:id="1760" w:name="_Toc25803"/>
      <w:bookmarkStart w:id="1761" w:name="_Toc22033"/>
      <w:bookmarkStart w:id="1762" w:name="_Toc5310"/>
      <w:bookmarkStart w:id="1763" w:name="_Toc26416"/>
      <w:bookmarkStart w:id="1764" w:name="_Toc20947"/>
      <w:bookmarkStart w:id="1765" w:name="_Toc11990"/>
      <w:bookmarkStart w:id="1766" w:name="_Toc21863"/>
      <w:bookmarkStart w:id="1767" w:name="_Toc7628"/>
      <w:bookmarkStart w:id="1768" w:name="_Toc5816"/>
      <w:bookmarkStart w:id="1769" w:name="_Toc26372"/>
      <w:bookmarkStart w:id="1770" w:name="_Toc22720"/>
      <w:bookmarkStart w:id="1771" w:name="_Toc8882"/>
      <w:bookmarkStart w:id="1772" w:name="_Toc6112"/>
      <w:bookmarkStart w:id="1773" w:name="_Toc3181"/>
      <w:bookmarkStart w:id="1774" w:name="_Toc636"/>
      <w:bookmarkStart w:id="1775" w:name="_Toc7083"/>
      <w:bookmarkStart w:id="1776" w:name="_Toc15865"/>
      <w:bookmarkStart w:id="1777" w:name="_Toc761"/>
      <w:bookmarkStart w:id="1778" w:name="_Toc3861"/>
      <w:bookmarkStart w:id="1779" w:name="_Toc28918"/>
      <w:bookmarkStart w:id="1780" w:name="_Toc4925"/>
      <w:bookmarkStart w:id="1781" w:name="_Toc27862"/>
      <w:bookmarkStart w:id="1782" w:name="_Toc4317"/>
      <w:bookmarkStart w:id="1783" w:name="_Toc17836"/>
      <w:bookmarkStart w:id="1784" w:name="_Toc20579"/>
      <w:bookmarkStart w:id="1785" w:name="_Toc12466"/>
      <w:bookmarkStart w:id="1786" w:name="_Toc25611"/>
      <w:bookmarkStart w:id="1787" w:name="_Toc28171"/>
      <w:bookmarkStart w:id="1788" w:name="_Toc30505"/>
      <w:bookmarkStart w:id="1789" w:name="_Toc9608"/>
      <w:bookmarkStart w:id="1790" w:name="_Toc15888"/>
      <w:bookmarkStart w:id="1791" w:name="_Toc16777"/>
      <w:bookmarkStart w:id="1792" w:name="_Toc7782"/>
      <w:bookmarkStart w:id="1793" w:name="_Toc10195"/>
      <w:bookmarkStart w:id="1794" w:name="_Toc30080"/>
      <w:r>
        <w:rPr>
          <w:rFonts w:hint="eastAsia" w:ascii="方正黑体_GBK" w:hAnsi="方正黑体_GBK" w:eastAsia="方正黑体_GBK" w:cs="方正黑体_GBK"/>
          <w:spacing w:val="8"/>
          <w:sz w:val="32"/>
          <w:szCs w:val="32"/>
        </w:rPr>
        <w:t>第九章 保障措施</w:t>
      </w:r>
      <w:bookmarkEnd w:id="1732"/>
      <w:bookmarkEnd w:id="1733"/>
      <w:bookmarkEnd w:id="1734"/>
      <w:bookmarkEnd w:id="1735"/>
      <w:bookmarkEnd w:id="1736"/>
      <w:bookmarkEnd w:id="1737"/>
      <w:bookmarkEnd w:id="1738"/>
      <w:bookmarkEnd w:id="1739"/>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795" w:name="_Toc16800"/>
      <w:bookmarkStart w:id="1796" w:name="_Toc10674"/>
      <w:bookmarkStart w:id="1797" w:name="_Toc31692"/>
      <w:bookmarkStart w:id="1798" w:name="_Toc91769327"/>
      <w:bookmarkStart w:id="1799" w:name="_Toc88078942"/>
      <w:bookmarkStart w:id="1800" w:name="_Toc27711"/>
      <w:bookmarkStart w:id="1801" w:name="_Toc15415"/>
      <w:bookmarkStart w:id="1802" w:name="_Toc18550"/>
      <w:r>
        <w:rPr>
          <w:rFonts w:hint="eastAsia" w:ascii="方正楷体_GBK" w:hAnsi="方正楷体_GBK" w:eastAsia="方正楷体_GBK" w:cs="方正楷体_GBK"/>
          <w:spacing w:val="8"/>
          <w:sz w:val="32"/>
          <w:szCs w:val="32"/>
          <w:lang w:eastAsia="zh-CN"/>
        </w:rPr>
        <w:t>第一节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加强组织领导</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p>
    <w:p>
      <w:pPr>
        <w:keepNext w:val="0"/>
        <w:keepLines w:val="0"/>
        <w:pageBreakBefore w:val="0"/>
        <w:shd w:val="clear" w:color="auto" w:fill="FFFFFF"/>
        <w:kinsoku/>
        <w:overflowPunct/>
        <w:topLinePunct/>
        <w:bidi w:val="0"/>
        <w:adjustRightInd w:val="0"/>
        <w:spacing w:line="580" w:lineRule="exact"/>
        <w:ind w:firstLine="632"/>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kern w:val="0"/>
          <w:sz w:val="32"/>
          <w:szCs w:val="32"/>
        </w:rPr>
        <w:t>各地</w:t>
      </w:r>
      <w:r>
        <w:rPr>
          <w:rFonts w:hint="eastAsia" w:ascii="方正仿宋_GBK" w:hAnsi="方正仿宋_GBK" w:eastAsia="方正仿宋_GBK" w:cs="方正仿宋_GBK"/>
          <w:kern w:val="0"/>
          <w:sz w:val="32"/>
          <w:szCs w:val="32"/>
          <w:lang w:eastAsia="zh-CN"/>
        </w:rPr>
        <w:t>区</w:t>
      </w:r>
      <w:r>
        <w:rPr>
          <w:rFonts w:hint="eastAsia" w:ascii="方正仿宋_GBK" w:hAnsi="方正仿宋_GBK" w:eastAsia="方正仿宋_GBK" w:cs="方正仿宋_GBK"/>
          <w:kern w:val="0"/>
          <w:sz w:val="32"/>
          <w:szCs w:val="32"/>
        </w:rPr>
        <w:t>各部门要高度重视应急管理、安全生产工作，按照统一领导、分级负责、属地管理为主的总体要求，结合实际编制本地区本部门相应的建设规划或实施方案，细化任务、明确责任，落实保障措施，确保规划目标、建设任务和重点项目全面实现。</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803" w:name="_Toc9697"/>
      <w:bookmarkStart w:id="1804" w:name="_Toc157"/>
      <w:bookmarkStart w:id="1805" w:name="_Toc7289"/>
      <w:bookmarkStart w:id="1806" w:name="_Toc24448"/>
      <w:bookmarkStart w:id="1807" w:name="_Toc25520"/>
      <w:bookmarkStart w:id="1808" w:name="_Toc18731"/>
      <w:bookmarkStart w:id="1809" w:name="_Toc21982"/>
      <w:bookmarkStart w:id="1810" w:name="_Toc2102"/>
      <w:bookmarkStart w:id="1811" w:name="_Toc17567"/>
      <w:bookmarkStart w:id="1812" w:name="_Toc1240"/>
      <w:bookmarkStart w:id="1813" w:name="_Toc17019"/>
      <w:bookmarkStart w:id="1814" w:name="_Toc26323"/>
      <w:bookmarkStart w:id="1815" w:name="_Toc6421"/>
      <w:bookmarkStart w:id="1816" w:name="_Toc28303"/>
      <w:bookmarkStart w:id="1817" w:name="_Toc29123"/>
      <w:bookmarkStart w:id="1818" w:name="_Toc2304"/>
      <w:bookmarkStart w:id="1819" w:name="_Toc14780"/>
      <w:bookmarkStart w:id="1820" w:name="_Toc17455"/>
      <w:bookmarkStart w:id="1821" w:name="_Toc1703"/>
      <w:bookmarkStart w:id="1822" w:name="_Toc7648"/>
      <w:bookmarkStart w:id="1823" w:name="_Toc22364"/>
      <w:bookmarkStart w:id="1824" w:name="_Toc2056"/>
      <w:bookmarkStart w:id="1825" w:name="_Toc30089"/>
      <w:bookmarkStart w:id="1826" w:name="_Toc12079"/>
      <w:bookmarkStart w:id="1827" w:name="_Toc87346265"/>
      <w:bookmarkStart w:id="1828" w:name="_Toc28436"/>
      <w:bookmarkStart w:id="1829" w:name="_Toc10942"/>
      <w:bookmarkStart w:id="1830" w:name="_Toc29169"/>
      <w:bookmarkStart w:id="1831" w:name="_Toc13456"/>
      <w:bookmarkStart w:id="1832" w:name="_Toc13949"/>
      <w:bookmarkStart w:id="1833" w:name="_Toc86"/>
      <w:bookmarkStart w:id="1834" w:name="_Toc10612"/>
      <w:bookmarkStart w:id="1835" w:name="_Toc26436"/>
      <w:bookmarkStart w:id="1836" w:name="_Toc75374688"/>
      <w:bookmarkStart w:id="1837" w:name="_Toc27725"/>
      <w:bookmarkStart w:id="1838" w:name="_Toc9886"/>
      <w:bookmarkStart w:id="1839" w:name="_Toc27383"/>
      <w:bookmarkStart w:id="1840" w:name="_Toc14271"/>
      <w:bookmarkStart w:id="1841" w:name="_Toc1486"/>
      <w:bookmarkStart w:id="1842" w:name="_Toc10361"/>
      <w:bookmarkStart w:id="1843" w:name="_Toc31006"/>
      <w:bookmarkStart w:id="1844" w:name="_Toc91769328"/>
      <w:bookmarkStart w:id="1845" w:name="_Toc16494"/>
      <w:bookmarkStart w:id="1846" w:name="_Toc26144"/>
      <w:bookmarkStart w:id="1847" w:name="_Toc20720"/>
      <w:bookmarkStart w:id="1848" w:name="_Toc10523"/>
      <w:bookmarkStart w:id="1849" w:name="_Toc88078943"/>
      <w:bookmarkStart w:id="1850" w:name="_Toc1819"/>
      <w:bookmarkStart w:id="1851" w:name="_Toc11172"/>
      <w:bookmarkStart w:id="1852" w:name="_Toc3701"/>
      <w:bookmarkStart w:id="1853" w:name="_Toc18657"/>
      <w:bookmarkStart w:id="1854" w:name="_Toc12115"/>
      <w:bookmarkStart w:id="1855" w:name="_Toc4130"/>
      <w:bookmarkStart w:id="1856" w:name="_Toc12148"/>
      <w:bookmarkStart w:id="1857" w:name="_Toc30510"/>
      <w:bookmarkStart w:id="1858" w:name="_Toc12224"/>
      <w:bookmarkStart w:id="1859" w:name="_Toc2615"/>
      <w:bookmarkStart w:id="1860" w:name="_Toc17714"/>
      <w:bookmarkStart w:id="1861" w:name="_Toc9724"/>
      <w:bookmarkStart w:id="1862" w:name="_Toc26715"/>
      <w:bookmarkStart w:id="1863" w:name="_Toc10806"/>
      <w:bookmarkStart w:id="1864" w:name="_Toc30054"/>
      <w:bookmarkStart w:id="1865" w:name="_Toc10099"/>
      <w:r>
        <w:rPr>
          <w:rFonts w:hint="eastAsia" w:ascii="方正楷体_GBK" w:hAnsi="方正楷体_GBK" w:eastAsia="方正楷体_GBK" w:cs="方正楷体_GBK"/>
          <w:spacing w:val="8"/>
          <w:sz w:val="32"/>
          <w:szCs w:val="32"/>
          <w:lang w:eastAsia="zh-CN"/>
        </w:rPr>
        <w:t>第二节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健全实施机制</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keepNext w:val="0"/>
        <w:keepLines w:val="0"/>
        <w:pageBreakBefore w:val="0"/>
        <w:shd w:val="clear" w:color="auto" w:fill="FFFFFF"/>
        <w:kinsoku/>
        <w:overflowPunct/>
        <w:topLinePunct/>
        <w:bidi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按照体系建设任务，逐年制订实施计划，并加强对重点任务和目标完成情况的检查，确保体系建设顺利实施。各地</w:t>
      </w:r>
      <w:r>
        <w:rPr>
          <w:rFonts w:hint="eastAsia" w:ascii="方正仿宋_GBK" w:hAnsi="方正仿宋_GBK" w:eastAsia="方正仿宋_GBK" w:cs="方正仿宋_GBK"/>
          <w:kern w:val="0"/>
          <w:sz w:val="32"/>
          <w:szCs w:val="32"/>
          <w:lang w:eastAsia="zh-CN"/>
        </w:rPr>
        <w:t>区</w:t>
      </w:r>
      <w:r>
        <w:rPr>
          <w:rFonts w:hint="eastAsia" w:ascii="方正仿宋_GBK" w:hAnsi="方正仿宋_GBK" w:eastAsia="方正仿宋_GBK" w:cs="方正仿宋_GBK"/>
          <w:kern w:val="0"/>
          <w:sz w:val="32"/>
          <w:szCs w:val="32"/>
        </w:rPr>
        <w:t>各部门结合自身职能，研究解决体系建设实施过程中存在的突出问题，及时出台相关政策，保障规划实施。</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866" w:name="_Toc17152"/>
      <w:bookmarkStart w:id="1867" w:name="_Toc87346266"/>
      <w:bookmarkStart w:id="1868" w:name="_Toc27721"/>
      <w:bookmarkStart w:id="1869" w:name="_Toc10555"/>
      <w:bookmarkStart w:id="1870" w:name="_Toc26772"/>
      <w:bookmarkStart w:id="1871" w:name="_Toc7921"/>
      <w:bookmarkStart w:id="1872" w:name="_Toc25009"/>
      <w:bookmarkStart w:id="1873" w:name="_Toc5931"/>
      <w:bookmarkStart w:id="1874" w:name="_Toc23806"/>
      <w:bookmarkStart w:id="1875" w:name="_Toc15441"/>
      <w:bookmarkStart w:id="1876" w:name="_Toc24986"/>
      <w:bookmarkStart w:id="1877" w:name="_Toc27105"/>
      <w:bookmarkStart w:id="1878" w:name="_Toc1521"/>
      <w:bookmarkStart w:id="1879" w:name="_Toc15616"/>
      <w:bookmarkStart w:id="1880" w:name="_Toc301"/>
      <w:bookmarkStart w:id="1881" w:name="_Toc21067"/>
      <w:bookmarkStart w:id="1882" w:name="_Toc3741"/>
      <w:bookmarkStart w:id="1883" w:name="_Toc13106"/>
      <w:bookmarkStart w:id="1884" w:name="_Toc5422"/>
      <w:bookmarkStart w:id="1885" w:name="_Toc18417"/>
      <w:bookmarkStart w:id="1886" w:name="_Toc281"/>
      <w:bookmarkStart w:id="1887" w:name="_Toc21610"/>
      <w:bookmarkStart w:id="1888" w:name="_Toc15824"/>
      <w:bookmarkStart w:id="1889" w:name="_Toc10365"/>
      <w:bookmarkStart w:id="1890" w:name="_Toc29919"/>
      <w:bookmarkStart w:id="1891" w:name="_Toc7423"/>
      <w:bookmarkStart w:id="1892" w:name="_Toc2601"/>
      <w:bookmarkStart w:id="1893" w:name="_Toc19551"/>
      <w:bookmarkStart w:id="1894" w:name="_Toc13331"/>
      <w:bookmarkStart w:id="1895" w:name="_Toc18329"/>
      <w:bookmarkStart w:id="1896" w:name="_Toc13085"/>
      <w:bookmarkStart w:id="1897" w:name="_Toc22088"/>
      <w:bookmarkStart w:id="1898" w:name="_Toc10691"/>
      <w:bookmarkStart w:id="1899" w:name="_Toc88078944"/>
      <w:bookmarkStart w:id="1900" w:name="_Toc12982"/>
      <w:bookmarkStart w:id="1901" w:name="_Toc2240"/>
      <w:bookmarkStart w:id="1902" w:name="_Toc4117"/>
      <w:bookmarkStart w:id="1903" w:name="_Toc12308"/>
      <w:bookmarkStart w:id="1904" w:name="_Toc27597"/>
      <w:bookmarkStart w:id="1905" w:name="_Toc10032"/>
      <w:bookmarkStart w:id="1906" w:name="_Toc20842"/>
      <w:bookmarkStart w:id="1907" w:name="_Toc26870"/>
      <w:bookmarkStart w:id="1908" w:name="_Toc1600"/>
      <w:bookmarkStart w:id="1909" w:name="_Toc12083"/>
      <w:bookmarkStart w:id="1910" w:name="_Toc22852"/>
      <w:bookmarkStart w:id="1911" w:name="_Toc11306"/>
      <w:bookmarkStart w:id="1912" w:name="_Toc18096"/>
      <w:bookmarkStart w:id="1913" w:name="_Toc3266"/>
      <w:bookmarkStart w:id="1914" w:name="_Toc91769329"/>
      <w:bookmarkStart w:id="1915" w:name="_Toc9043"/>
      <w:bookmarkStart w:id="1916" w:name="_Toc7090"/>
      <w:bookmarkStart w:id="1917" w:name="_Toc10350"/>
      <w:bookmarkStart w:id="1918" w:name="_Toc15370"/>
      <w:bookmarkStart w:id="1919" w:name="_Toc31870"/>
      <w:bookmarkStart w:id="1920" w:name="_Toc30603"/>
      <w:bookmarkStart w:id="1921" w:name="_Toc14266"/>
      <w:bookmarkStart w:id="1922" w:name="_Toc30929"/>
      <w:bookmarkStart w:id="1923" w:name="_Toc1484"/>
      <w:bookmarkStart w:id="1924" w:name="_Toc14810"/>
      <w:bookmarkStart w:id="1925" w:name="_Toc1163"/>
      <w:bookmarkStart w:id="1926" w:name="_Toc11857"/>
      <w:bookmarkStart w:id="1927" w:name="_Toc6131"/>
      <w:bookmarkStart w:id="1928" w:name="_Toc4253"/>
      <w:bookmarkStart w:id="1929" w:name="_Toc27596"/>
      <w:r>
        <w:rPr>
          <w:rFonts w:hint="eastAsia" w:ascii="方正楷体_GBK" w:hAnsi="方正楷体_GBK" w:eastAsia="方正楷体_GBK" w:cs="方正楷体_GBK"/>
          <w:spacing w:val="8"/>
          <w:sz w:val="32"/>
          <w:szCs w:val="32"/>
          <w:lang w:eastAsia="zh-CN"/>
        </w:rPr>
        <w:t>第三节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加强资金保障</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pPr>
        <w:keepNext w:val="0"/>
        <w:keepLines w:val="0"/>
        <w:pageBreakBefore w:val="0"/>
        <w:shd w:val="clear" w:color="auto" w:fill="FFFFFF"/>
        <w:kinsoku/>
        <w:overflowPunct/>
        <w:topLinePunct/>
        <w:bidi w:val="0"/>
        <w:spacing w:line="580" w:lineRule="exact"/>
        <w:ind w:firstLine="632"/>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按照应急管理资金“分级管理，分级负责”原则，建立全区应急管理财力保障制度，切实保证重点工程项目建设必要投资。坚持政府投入和市场机制相结合，争取中央财政支持，建立多元化应急资金筹集渠道。各级政府要将本级承担的重点工程项目建设资金纳入本级基本建设投资计划，可按年度分批次安排，确保重点工程项目如期完成。</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930" w:name="_Toc28882"/>
      <w:bookmarkStart w:id="1931" w:name="_Toc24707"/>
      <w:bookmarkStart w:id="1932" w:name="_Toc27047"/>
      <w:bookmarkStart w:id="1933" w:name="_Toc88078945"/>
      <w:bookmarkStart w:id="1934" w:name="_Toc30470"/>
      <w:bookmarkStart w:id="1935" w:name="_Toc16892"/>
      <w:bookmarkStart w:id="1936" w:name="_Toc246"/>
      <w:bookmarkStart w:id="1937" w:name="_Toc12130"/>
      <w:bookmarkStart w:id="1938" w:name="_Toc13078"/>
      <w:bookmarkStart w:id="1939" w:name="_Toc12455"/>
      <w:bookmarkStart w:id="1940" w:name="_Toc19144"/>
      <w:bookmarkStart w:id="1941" w:name="_Toc29492"/>
      <w:bookmarkStart w:id="1942" w:name="_Toc6890"/>
      <w:bookmarkStart w:id="1943" w:name="_Toc75374689"/>
      <w:bookmarkStart w:id="1944" w:name="_Toc19960"/>
      <w:bookmarkStart w:id="1945" w:name="_Toc22225"/>
      <w:bookmarkStart w:id="1946" w:name="_Toc24271"/>
      <w:bookmarkStart w:id="1947" w:name="_Toc3432"/>
      <w:bookmarkStart w:id="1948" w:name="_Toc29139"/>
      <w:bookmarkStart w:id="1949" w:name="_Toc23150"/>
      <w:bookmarkStart w:id="1950" w:name="_Toc15917"/>
      <w:bookmarkStart w:id="1951" w:name="_Toc9553"/>
      <w:bookmarkStart w:id="1952" w:name="_Toc3479"/>
      <w:bookmarkStart w:id="1953" w:name="_Toc28307"/>
      <w:bookmarkStart w:id="1954" w:name="_Toc1501"/>
      <w:bookmarkStart w:id="1955" w:name="_Toc22547"/>
      <w:bookmarkStart w:id="1956" w:name="_Toc29043"/>
      <w:bookmarkStart w:id="1957" w:name="_Toc19375"/>
      <w:bookmarkStart w:id="1958" w:name="_Toc6354"/>
      <w:bookmarkStart w:id="1959" w:name="_Toc22142"/>
      <w:bookmarkStart w:id="1960" w:name="_Toc7028"/>
      <w:bookmarkStart w:id="1961" w:name="_Toc1765"/>
      <w:bookmarkStart w:id="1962" w:name="_Toc6622"/>
      <w:bookmarkStart w:id="1963" w:name="_Toc1789"/>
      <w:bookmarkStart w:id="1964" w:name="_Toc42"/>
      <w:bookmarkStart w:id="1965" w:name="_Toc19500"/>
      <w:bookmarkStart w:id="1966" w:name="_Toc16231"/>
      <w:bookmarkStart w:id="1967" w:name="_Toc91769330"/>
      <w:bookmarkStart w:id="1968" w:name="_Toc9489"/>
      <w:bookmarkStart w:id="1969" w:name="_Toc12156"/>
      <w:bookmarkStart w:id="1970" w:name="_Toc2884"/>
      <w:bookmarkStart w:id="1971" w:name="_Toc11304"/>
      <w:bookmarkStart w:id="1972" w:name="_Toc24138"/>
      <w:bookmarkStart w:id="1973" w:name="_Toc31"/>
      <w:bookmarkStart w:id="1974" w:name="_Toc989"/>
      <w:bookmarkStart w:id="1975" w:name="_Toc16424"/>
      <w:bookmarkStart w:id="1976" w:name="_Toc22513"/>
      <w:bookmarkStart w:id="1977" w:name="_Toc120"/>
      <w:bookmarkStart w:id="1978" w:name="_Toc9049"/>
      <w:bookmarkStart w:id="1979" w:name="_Toc5095"/>
      <w:bookmarkStart w:id="1980" w:name="_Toc31745"/>
      <w:bookmarkStart w:id="1981" w:name="_Toc31367"/>
      <w:bookmarkStart w:id="1982" w:name="_Toc5043"/>
      <w:bookmarkStart w:id="1983" w:name="_Toc17054"/>
      <w:bookmarkStart w:id="1984" w:name="_Toc14938"/>
      <w:bookmarkStart w:id="1985" w:name="_Toc87346267"/>
      <w:bookmarkStart w:id="1986" w:name="_Toc12070"/>
      <w:bookmarkStart w:id="1987" w:name="_Toc3961"/>
      <w:bookmarkStart w:id="1988" w:name="_Toc22079"/>
      <w:bookmarkStart w:id="1989" w:name="_Toc27973"/>
      <w:bookmarkStart w:id="1990" w:name="_Toc16106"/>
      <w:bookmarkStart w:id="1991" w:name="_Toc429"/>
      <w:bookmarkStart w:id="1992" w:name="_Toc22910"/>
      <w:r>
        <w:rPr>
          <w:rFonts w:hint="eastAsia" w:ascii="方正楷体_GBK" w:hAnsi="方正楷体_GBK" w:eastAsia="方正楷体_GBK" w:cs="方正楷体_GBK"/>
          <w:spacing w:val="8"/>
          <w:sz w:val="32"/>
          <w:szCs w:val="32"/>
          <w:lang w:eastAsia="zh-CN"/>
        </w:rPr>
        <w:t>第四节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加强协调衔接</w:t>
      </w:r>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p>
    <w:p>
      <w:pPr>
        <w:keepNext w:val="0"/>
        <w:keepLines w:val="0"/>
        <w:pageBreakBefore w:val="0"/>
        <w:shd w:val="clear" w:color="auto" w:fill="FFFFFF"/>
        <w:kinsoku/>
        <w:overflowPunct/>
        <w:topLinePunct/>
        <w:bidi w:val="0"/>
        <w:adjustRightInd w:val="0"/>
        <w:spacing w:line="580" w:lineRule="exact"/>
        <w:ind w:firstLine="632"/>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kern w:val="0"/>
          <w:sz w:val="32"/>
          <w:szCs w:val="32"/>
        </w:rPr>
        <w:t>各地</w:t>
      </w:r>
      <w:r>
        <w:rPr>
          <w:rFonts w:hint="eastAsia" w:ascii="方正仿宋_GBK" w:hAnsi="方正仿宋_GBK" w:eastAsia="方正仿宋_GBK" w:cs="方正仿宋_GBK"/>
          <w:kern w:val="0"/>
          <w:sz w:val="32"/>
          <w:szCs w:val="32"/>
          <w:lang w:eastAsia="zh-CN"/>
        </w:rPr>
        <w:t>区</w:t>
      </w:r>
      <w:r>
        <w:rPr>
          <w:rFonts w:hint="eastAsia" w:ascii="方正仿宋_GBK" w:hAnsi="方正仿宋_GBK" w:eastAsia="方正仿宋_GBK" w:cs="方正仿宋_GBK"/>
          <w:kern w:val="0"/>
          <w:sz w:val="32"/>
          <w:szCs w:val="32"/>
        </w:rPr>
        <w:t>各有关部门要建立健全规划实施协调与衔接机制，加强规划之间的衔接，合理配置资源，避免重复建设。要强化规划实施部门之间、条块之间的协调衔接，理顺关系、明确职责；要加强与项目审批部门的沟通联系，争取重点项目尽快完成前期准备和立项批复，加快推进重点项目建设进程。</w:t>
      </w:r>
    </w:p>
    <w:p>
      <w:pPr>
        <w:keepNext w:val="0"/>
        <w:keepLines w:val="0"/>
        <w:pageBreakBefore w:val="0"/>
        <w:kinsoku/>
        <w:overflowPunct/>
        <w:topLinePunct/>
        <w:bidi w:val="0"/>
        <w:spacing w:before="298" w:beforeLines="50" w:after="298" w:afterLines="50" w:line="580" w:lineRule="exact"/>
        <w:jc w:val="center"/>
        <w:outlineLvl w:val="1"/>
        <w:rPr>
          <w:rFonts w:hint="eastAsia" w:ascii="方正楷体_GBK" w:hAnsi="方正楷体_GBK" w:eastAsia="方正楷体_GBK" w:cs="方正楷体_GBK"/>
          <w:spacing w:val="8"/>
          <w:sz w:val="32"/>
          <w:szCs w:val="32"/>
        </w:rPr>
      </w:pPr>
      <w:bookmarkStart w:id="1993" w:name="_Toc29166"/>
      <w:bookmarkStart w:id="1994" w:name="_Toc5724"/>
      <w:bookmarkStart w:id="1995" w:name="_Toc29743"/>
      <w:bookmarkStart w:id="1996" w:name="_Toc9517"/>
      <w:bookmarkStart w:id="1997" w:name="_Toc21190"/>
      <w:bookmarkStart w:id="1998" w:name="_Toc19578"/>
      <w:bookmarkStart w:id="1999" w:name="_Toc15793"/>
      <w:bookmarkStart w:id="2000" w:name="_Toc15691"/>
      <w:bookmarkStart w:id="2001" w:name="_Toc20395"/>
      <w:bookmarkStart w:id="2002" w:name="_Toc25508"/>
      <w:bookmarkStart w:id="2003" w:name="_Toc22738"/>
      <w:bookmarkStart w:id="2004" w:name="_Toc22595"/>
      <w:bookmarkStart w:id="2005" w:name="_Toc75374690"/>
      <w:bookmarkStart w:id="2006" w:name="_Toc6610"/>
      <w:bookmarkStart w:id="2007" w:name="_Toc26613"/>
      <w:bookmarkStart w:id="2008" w:name="_Toc4546"/>
      <w:bookmarkStart w:id="2009" w:name="_Toc4908"/>
      <w:bookmarkStart w:id="2010" w:name="_Toc13890"/>
      <w:bookmarkStart w:id="2011" w:name="_Toc16088"/>
      <w:bookmarkStart w:id="2012" w:name="_Toc12406"/>
      <w:bookmarkStart w:id="2013" w:name="_Toc6167"/>
      <w:bookmarkStart w:id="2014" w:name="_Toc26777"/>
      <w:bookmarkStart w:id="2015" w:name="_Toc3182"/>
      <w:bookmarkStart w:id="2016" w:name="_Toc29291"/>
      <w:bookmarkStart w:id="2017" w:name="_Toc16299"/>
      <w:bookmarkStart w:id="2018" w:name="_Toc13917"/>
      <w:bookmarkStart w:id="2019" w:name="_Toc32532"/>
      <w:bookmarkStart w:id="2020" w:name="_Toc3361"/>
      <w:bookmarkStart w:id="2021" w:name="_Toc25256"/>
      <w:bookmarkStart w:id="2022" w:name="_Toc21586"/>
      <w:bookmarkStart w:id="2023" w:name="_Toc29562"/>
      <w:bookmarkStart w:id="2024" w:name="_Toc1984"/>
      <w:bookmarkStart w:id="2025" w:name="_Toc18819"/>
      <w:bookmarkStart w:id="2026" w:name="_Toc8636"/>
      <w:bookmarkStart w:id="2027" w:name="_Toc20528"/>
      <w:bookmarkStart w:id="2028" w:name="_Toc13105"/>
      <w:bookmarkStart w:id="2029" w:name="_Toc19287"/>
      <w:bookmarkStart w:id="2030" w:name="_Toc28174"/>
      <w:bookmarkStart w:id="2031" w:name="_Toc29864"/>
      <w:bookmarkStart w:id="2032" w:name="_Toc15774"/>
      <w:bookmarkStart w:id="2033" w:name="_Toc25473"/>
      <w:bookmarkStart w:id="2034" w:name="_Toc15970"/>
      <w:bookmarkStart w:id="2035" w:name="_Toc24431"/>
      <w:bookmarkStart w:id="2036" w:name="_Toc13130"/>
      <w:bookmarkStart w:id="2037" w:name="_Toc13383"/>
      <w:bookmarkStart w:id="2038" w:name="_Toc29458"/>
      <w:bookmarkStart w:id="2039" w:name="_Toc17154"/>
      <w:bookmarkStart w:id="2040" w:name="_Toc2880"/>
      <w:bookmarkStart w:id="2041" w:name="_Toc19784"/>
      <w:bookmarkStart w:id="2042" w:name="_Toc87346268"/>
      <w:bookmarkStart w:id="2043" w:name="_Toc16076"/>
      <w:bookmarkStart w:id="2044" w:name="_Toc27411"/>
      <w:bookmarkStart w:id="2045" w:name="_Toc1982"/>
      <w:bookmarkStart w:id="2046" w:name="_Toc20780"/>
      <w:bookmarkStart w:id="2047" w:name="_Toc3227"/>
      <w:bookmarkStart w:id="2048" w:name="_Toc23441"/>
      <w:bookmarkStart w:id="2049" w:name="_Toc24257"/>
      <w:bookmarkStart w:id="2050" w:name="_Toc16322"/>
      <w:bookmarkStart w:id="2051" w:name="_Toc5524"/>
      <w:bookmarkStart w:id="2052" w:name="_Toc18327"/>
      <w:bookmarkStart w:id="2053" w:name="_Toc88078946"/>
      <w:bookmarkStart w:id="2054" w:name="_Toc91769331"/>
      <w:bookmarkStart w:id="2055" w:name="_Toc13248"/>
      <w:r>
        <w:rPr>
          <w:rFonts w:hint="eastAsia" w:ascii="方正楷体_GBK" w:hAnsi="方正楷体_GBK" w:eastAsia="方正楷体_GBK" w:cs="方正楷体_GBK"/>
          <w:spacing w:val="8"/>
          <w:sz w:val="32"/>
          <w:szCs w:val="32"/>
          <w:lang w:eastAsia="zh-CN"/>
        </w:rPr>
        <w:t>第五节</w:t>
      </w:r>
      <w:r>
        <w:rPr>
          <w:rFonts w:hint="eastAsia" w:ascii="方正楷体_GBK" w:hAnsi="方正楷体_GBK" w:eastAsia="方正楷体_GBK" w:cs="方正楷体_GBK"/>
          <w:spacing w:val="8"/>
          <w:sz w:val="32"/>
          <w:szCs w:val="32"/>
          <w:lang w:val="en-US" w:eastAsia="zh-CN"/>
        </w:rPr>
        <w:t xml:space="preserve"> </w:t>
      </w:r>
      <w:r>
        <w:rPr>
          <w:rFonts w:hint="eastAsia" w:ascii="方正楷体_GBK" w:hAnsi="方正楷体_GBK" w:eastAsia="方正楷体_GBK" w:cs="方正楷体_GBK"/>
          <w:spacing w:val="8"/>
          <w:sz w:val="32"/>
          <w:szCs w:val="32"/>
        </w:rPr>
        <w:t>实施考核评估</w:t>
      </w:r>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keepNext w:val="0"/>
        <w:keepLines w:val="0"/>
        <w:pageBreakBefore w:val="0"/>
        <w:shd w:val="clear" w:color="auto" w:fill="FFFFFF"/>
        <w:kinsoku/>
        <w:overflowPunct/>
        <w:topLinePunct/>
        <w:bidi w:val="0"/>
        <w:spacing w:line="580" w:lineRule="exact"/>
        <w:ind w:firstLine="632"/>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kern w:val="0"/>
          <w:sz w:val="32"/>
          <w:szCs w:val="32"/>
        </w:rPr>
        <w:t>各地</w:t>
      </w:r>
      <w:r>
        <w:rPr>
          <w:rFonts w:hint="eastAsia" w:ascii="方正仿宋_GBK" w:hAnsi="方正仿宋_GBK" w:eastAsia="方正仿宋_GBK" w:cs="方正仿宋_GBK"/>
          <w:kern w:val="0"/>
          <w:sz w:val="32"/>
          <w:szCs w:val="32"/>
          <w:lang w:eastAsia="zh-CN"/>
        </w:rPr>
        <w:t>区</w:t>
      </w:r>
      <w:r>
        <w:rPr>
          <w:rFonts w:hint="eastAsia" w:ascii="方正仿宋_GBK" w:hAnsi="方正仿宋_GBK" w:eastAsia="方正仿宋_GBK" w:cs="方正仿宋_GBK"/>
          <w:kern w:val="0"/>
          <w:sz w:val="32"/>
          <w:szCs w:val="32"/>
        </w:rPr>
        <w:t>各有关部门要建立健全规划实施动态评估机制，及时跟踪规划实施情况，开展规划实施年度监测、中期评估和年终总结，按要求对规划落实情况进行评估，找准规划落实偏差，根据需要对规划进行调整和补充。建立健全规划监督机制，及时对规</w:t>
      </w:r>
      <w:r>
        <w:rPr>
          <w:rFonts w:hint="eastAsia" w:ascii="方正仿宋_GBK" w:hAnsi="方正仿宋_GBK" w:eastAsia="方正仿宋_GBK" w:cs="方正仿宋_GBK"/>
          <w:spacing w:val="-6"/>
          <w:kern w:val="0"/>
          <w:sz w:val="32"/>
          <w:szCs w:val="32"/>
        </w:rPr>
        <w:t>划实施情况进行监督检查，确保规划建设任务和重点项目全面完成。</w:t>
      </w:r>
    </w:p>
    <w:p>
      <w:pPr>
        <w:keepNext w:val="0"/>
        <w:keepLines w:val="0"/>
        <w:pageBreakBefore w:val="0"/>
        <w:kinsoku/>
        <w:overflowPunct/>
        <w:topLinePunct/>
        <w:bidi w:val="0"/>
        <w:spacing w:line="580" w:lineRule="exact"/>
        <w:rPr>
          <w:rFonts w:hint="eastAsia"/>
        </w:rPr>
      </w:pPr>
    </w:p>
    <w:p>
      <w:pPr>
        <w:keepNext w:val="0"/>
        <w:keepLines w:val="0"/>
        <w:pageBreakBefore w:val="0"/>
        <w:kinsoku/>
        <w:overflowPunct/>
        <w:topLinePunct/>
        <w:bidi w:val="0"/>
        <w:spacing w:line="580" w:lineRule="exact"/>
        <w:rPr>
          <w:rFonts w:hint="eastAsia"/>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rPr>
      </w:pPr>
      <w:bookmarkStart w:id="2056" w:name="_GoBack"/>
      <w:bookmarkEnd w:id="2056"/>
    </w:p>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rPr>
      </w:pPr>
    </w:p>
    <w:tbl>
      <w:tblPr>
        <w:tblStyle w:val="14"/>
        <w:tblW w:w="9141"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4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41" w:type="dxa"/>
            <w:noWrap w:val="0"/>
            <w:vAlign w:val="top"/>
          </w:tcPr>
          <w:p>
            <w:pPr>
              <w:keepNext w:val="0"/>
              <w:keepLines w:val="0"/>
              <w:pageBreakBefore w:val="0"/>
              <w:widowControl w:val="0"/>
              <w:kinsoku/>
              <w:wordWrap/>
              <w:overflowPunct/>
              <w:topLinePunct/>
              <w:autoSpaceDE/>
              <w:autoSpaceDN/>
              <w:bidi w:val="0"/>
              <w:adjustRightInd/>
              <w:snapToGrid/>
              <w:spacing w:line="44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4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autoSpaceDE/>
              <w:autoSpaceDN/>
              <w:bidi w:val="0"/>
              <w:adjustRightInd/>
              <w:snapToGrid/>
              <w:spacing w:line="440" w:lineRule="exact"/>
              <w:ind w:firstLine="1148" w:firstLineChars="41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4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41" w:type="dxa"/>
            <w:noWrap w:val="0"/>
            <w:vAlign w:val="top"/>
          </w:tcPr>
          <w:p>
            <w:pPr>
              <w:keepNext w:val="0"/>
              <w:keepLines w:val="0"/>
              <w:pageBreakBefore w:val="0"/>
              <w:kinsoku/>
              <w:overflowPunct/>
              <w:topLinePunct/>
              <w:bidi w:val="0"/>
              <w:spacing w:line="240" w:lineRule="auto"/>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keepNext w:val="0"/>
        <w:keepLines w:val="0"/>
        <w:pageBreakBefore w:val="0"/>
        <w:kinsoku/>
        <w:overflowPunct/>
        <w:topLinePunct/>
        <w:bidi w:val="0"/>
        <w:spacing w:line="20" w:lineRule="exact"/>
        <w:rPr>
          <w:rFonts w:hint="eastAsia"/>
        </w:rPr>
      </w:pPr>
    </w:p>
    <w:sectPr>
      <w:headerReference r:id="rId5" w:type="default"/>
      <w:footerReference r:id="rId7" w:type="default"/>
      <w:headerReference r:id="rId6" w:type="even"/>
      <w:footerReference r:id="rId8"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1" w:usb1="080E0000" w:usb2="00000000" w:usb3="00000000" w:csb0="00040000" w:csb1="00000000"/>
  </w:font>
  <w:font w:name="方正楷体_GBK">
    <w:altName w:val="微软雅黑"/>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altName w:val="微软雅黑"/>
    <w:panose1 w:val="02000000000000000000"/>
    <w:charset w:val="86"/>
    <w:family w:val="auto"/>
    <w:pitch w:val="default"/>
    <w:sig w:usb0="A00002BF" w:usb1="38CF7CFA" w:usb2="00082016" w:usb3="00000000" w:csb0="00040001" w:csb1="00000000"/>
  </w:font>
  <w:font w:name="方正仿宋简体">
    <w:altName w:val="宋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after="120"/>
      <w:ind w:right="210" w:rightChars="100" w:firstLine="560"/>
      <w:jc w:val="right"/>
      <w:rPr>
        <w:rFonts w:ascii="宋体" w:hAnsi="宋体" w:eastAsia="宋体"/>
        <w:sz w:val="28"/>
      </w:rPr>
    </w:pPr>
    <w:r>
      <w:rPr>
        <w:sz w:val="28"/>
      </w:rPr>
      <mc:AlternateContent>
        <mc:Choice Requires="wps">
          <w:drawing>
            <wp:anchor distT="0" distB="0" distL="114300" distR="114300" simplePos="0" relativeHeight="251658240" behindDoc="0" locked="0" layoutInCell="1" allowOverlap="1">
              <wp:simplePos x="0" y="0"/>
              <wp:positionH relativeFrom="margin">
                <wp:posOffset>5234305</wp:posOffset>
              </wp:positionH>
              <wp:positionV relativeFrom="paragraph">
                <wp:posOffset>276225</wp:posOffset>
              </wp:positionV>
              <wp:extent cx="1828800" cy="1828800"/>
              <wp:effectExtent l="0" t="0" r="0" b="0"/>
              <wp:wrapSquare wrapText="bothSides"/>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rPr>
                            <w:t>- 1 -</w:t>
                          </w:r>
                          <w:r>
                            <w:rPr>
                              <w:rFonts w:hint="eastAsia"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left:412.15pt;margin-top:21.75pt;height:144pt;width:144pt;mso-position-horizontal-relative:margin;mso-wrap-distance-bottom:0pt;mso-wrap-distance-left:9pt;mso-wrap-distance-right:9pt;mso-wrap-distance-top:0pt;mso-wrap-style:none;z-index:251658240;mso-width-relative:page;mso-height-relative:page;" filled="f" stroked="f" coordsize="21600,21600" o:gfxdata="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53NLdcAAAALAQAADwAAAAAAAAABACAAAAAiAAAAZHJzL2Rvd25yZXYu&#10;eG1sUEsBAhQAFAAAAAgAh07iQHLOLKPDAQAAcAMAAA4AAAAAAAAAAQAgAAAAJgEAAGRycy9lMm9E&#10;b2MueG1sUEsFBgAAAAAGAAYAWQEAAFsFAAAAAA==&#10;">
              <v:fill on="f" focussize="0,0"/>
              <v:stroke on="f"/>
              <v:imagedata o:title=""/>
              <o:lock v:ext="edit" aspectratio="f"/>
              <v:textbox inset="0mm,0mm,0mm,0mm" style="mso-fit-shape-to-text:t;">
                <w:txbxContent>
                  <w:p>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rPr>
                      <w:t>- 1 -</w:t>
                    </w:r>
                    <w:r>
                      <w:rPr>
                        <w:rFonts w:hint="eastAsia" w:ascii="宋体" w:hAnsi="宋体"/>
                        <w:sz w:val="28"/>
                        <w:szCs w:val="28"/>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84555" cy="303530"/>
              <wp:effectExtent l="0" t="0" r="0" b="0"/>
              <wp:wrapNone/>
              <wp:docPr id="3" name="文本框 9"/>
              <wp:cNvGraphicFramePr/>
              <a:graphic xmlns:a="http://schemas.openxmlformats.org/drawingml/2006/main">
                <a:graphicData uri="http://schemas.microsoft.com/office/word/2010/wordprocessingShape">
                  <wps:wsp>
                    <wps:cNvSpPr txBox="1"/>
                    <wps:spPr>
                      <a:xfrm>
                        <a:off x="0" y="0"/>
                        <a:ext cx="884555" cy="303530"/>
                      </a:xfrm>
                      <a:prstGeom prst="rect">
                        <a:avLst/>
                      </a:prstGeom>
                      <a:noFill/>
                      <a:ln>
                        <a:noFill/>
                      </a:ln>
                    </wps:spPr>
                    <wps:txbx>
                      <w:txbxContent>
                        <w:p>
                          <w:pPr>
                            <w:rPr>
                              <w:rFonts w:hint="eastAsia"/>
                              <w:lang w:eastAsia="zh-CN"/>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rPr>
                            <w:t>- 1 -</w:t>
                          </w:r>
                          <w:r>
                            <w:rPr>
                              <w:rFonts w:hint="eastAsia" w:ascii="宋体" w:hAnsi="宋体"/>
                              <w:sz w:val="28"/>
                              <w:szCs w:val="28"/>
                            </w:rPr>
                            <w:fldChar w:fldCharType="end"/>
                          </w:r>
                        </w:p>
                      </w:txbxContent>
                    </wps:txbx>
                    <wps:bodyPr vert="horz" wrap="square" lIns="0" tIns="0" rIns="0" bIns="0" anchor="t" anchorCtr="0" upright="0"/>
                  </wps:wsp>
                </a:graphicData>
              </a:graphic>
            </wp:anchor>
          </w:drawing>
        </mc:Choice>
        <mc:Fallback>
          <w:pict>
            <v:shape id="文本框 9" o:spid="_x0000_s1026" o:spt="202" type="#_x0000_t202" style="position:absolute;left:0pt;margin-top:0pt;height:23.9pt;width:69.65pt;mso-position-horizontal:outside;mso-position-horizontal-relative:margin;z-index:251660288;mso-width-relative:page;mso-height-relative:page;" filled="f" stroked="f" coordsize="21600,21600" o:gfxdata="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Lk7LbVAAAABAEAAA8AAAAAAAAAAQAgAAAAIgAAAGRycy9kb3ducmV2LnhtbFBL&#10;AQIUABQAAAAIAIdO4kBd85E9wAEAAFYDAAAOAAAAAAAAAAEAIAAAACQBAABkcnMvZTJvRG9jLnht&#10;bFBLBQYAAAAABgAGAFkBAABWBQAAAAA=&#10;">
              <v:fill on="f" focussize="0,0"/>
              <v:stroke on="f"/>
              <v:imagedata o:title=""/>
              <o:lock v:ext="edit" aspectratio="f"/>
              <v:textbox inset="0mm,0mm,0mm,0mm">
                <w:txbxContent>
                  <w:p>
                    <w:pPr>
                      <w:rPr>
                        <w:rFonts w:hint="eastAsia"/>
                        <w:lang w:eastAsia="zh-CN"/>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rPr>
                      <w:t>- 1 -</w:t>
                    </w:r>
                    <w:r>
                      <w:rPr>
                        <w:rFonts w:hint="eastAsia" w:ascii="宋体" w:hAnsi="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default" w:eastAsia="宋体"/>
                              <w:lang w:val="en-US" w:eastAsia="zh-CN"/>
                            </w:rPr>
                          </w:pPr>
                          <w:r>
                            <w:rPr>
                              <w:rFonts w:hint="eastAsia"/>
                              <w:lang w:val="en-US" w:eastAsia="zh-CN"/>
                            </w:rPr>
                            <w:t>-</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JXtCEwwEAAHADAAAOAAAAAAAAAAEAIAAAAB4BAABkcnMvZTJvRG9jLnhtbFBL&#10;BQYAAAAABgAGAFkBAABTBQAAAAA=&#10;">
              <v:fill on="f" focussize="0,0"/>
              <v:stroke on="f"/>
              <v:imagedata o:title=""/>
              <o:lock v:ext="edit" aspectratio="f"/>
              <v:textbox inset="0mm,0mm,0mm,0mm" style="mso-fit-shape-to-text:t;">
                <w:txbxContent>
                  <w:p>
                    <w:pPr>
                      <w:pStyle w:val="10"/>
                      <w:rPr>
                        <w:rFonts w:hint="default" w:eastAsia="宋体"/>
                        <w:lang w:val="en-US" w:eastAsia="zh-CN"/>
                      </w:rPr>
                    </w:pPr>
                    <w:r>
                      <w:rPr>
                        <w:rFonts w:hint="eastAsia"/>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rPr>
                            <w:t>- 1 -</w:t>
                          </w:r>
                          <w:r>
                            <w:rPr>
                              <w:rFonts w:hint="eastAsia"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wVuECwwEAAHEDAAAOAAAAAAAAAAEAIAAAAB4BAABkcnMvZTJvRG9jLnhtbFBL&#10;BQYAAAAABgAGAFkBAABTBQAAAAA=&#10;">
              <v:fill on="f" focussize="0,0"/>
              <v:stroke on="f"/>
              <v:imagedata o:title=""/>
              <o:lock v:ext="edit" aspectratio="f"/>
              <v:textbox inset="0mm,0mm,0mm,0mm" style="mso-fit-shape-to-text:t;">
                <w:txbxContent>
                  <w:p>
                    <w:pPr>
                      <w:pStyle w:val="10"/>
                      <w:rPr>
                        <w:rStyle w:val="17"/>
                        <w:rFonts w:hint="eastAsia" w:ascii="宋体" w:hAnsi="宋体"/>
                        <w:sz w:val="28"/>
                        <w:szCs w:val="28"/>
                      </w:rPr>
                    </w:pPr>
                    <w:r>
                      <w:rPr>
                        <w:rFonts w:hint="eastAsia" w:ascii="宋体" w:hAnsi="宋体"/>
                        <w:sz w:val="28"/>
                        <w:szCs w:val="28"/>
                      </w:rPr>
                      <w:fldChar w:fldCharType="begin"/>
                    </w:r>
                    <w:r>
                      <w:rPr>
                        <w:rStyle w:val="17"/>
                        <w:rFonts w:hint="eastAsia" w:ascii="宋体" w:hAnsi="宋体"/>
                        <w:sz w:val="28"/>
                        <w:szCs w:val="28"/>
                      </w:rPr>
                      <w:instrText xml:space="preserve">PAGE  </w:instrText>
                    </w:r>
                    <w:r>
                      <w:rPr>
                        <w:rFonts w:hint="eastAsia" w:ascii="宋体" w:hAnsi="宋体"/>
                        <w:sz w:val="28"/>
                        <w:szCs w:val="28"/>
                      </w:rPr>
                      <w:fldChar w:fldCharType="separate"/>
                    </w:r>
                    <w:r>
                      <w:rPr>
                        <w:rStyle w:val="17"/>
                        <w:rFonts w:ascii="宋体" w:hAnsi="宋体"/>
                        <w:sz w:val="28"/>
                        <w:szCs w:val="28"/>
                      </w:rPr>
                      <w:t>- 1 -</w:t>
                    </w:r>
                    <w:r>
                      <w:rPr>
                        <w:rFonts w:hint="eastAsia"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- 2 -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3CTsjwwEAAHEDAAAOAAAAAAAAAAEAIAAAAB4BAABkcnMvZTJvRG9jLnhtbFBL&#10;BQYAAAAABgAGAFkBAABTBQAAAAA=&#10;">
              <v:fill on="f" focussize="0,0"/>
              <v:stroke on="f"/>
              <v:imagedata o:title=""/>
              <o:lock v:ext="edit" aspectratio="f"/>
              <v:textbox inset="0mm,0mm,0mm,0mm" style="mso-fit-shape-to-text:t;">
                <w:txbxContent>
                  <w:p>
                    <w:pPr>
                      <w:pStyle w:val="10"/>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46207BF"/>
    <w:rsid w:val="074D26E8"/>
    <w:rsid w:val="089D6707"/>
    <w:rsid w:val="0B2E4615"/>
    <w:rsid w:val="0BC1275A"/>
    <w:rsid w:val="0EF70421"/>
    <w:rsid w:val="0FCC6223"/>
    <w:rsid w:val="11B41D04"/>
    <w:rsid w:val="1557639B"/>
    <w:rsid w:val="167A3E1C"/>
    <w:rsid w:val="16BC6E05"/>
    <w:rsid w:val="170F62AB"/>
    <w:rsid w:val="17466996"/>
    <w:rsid w:val="17ED2700"/>
    <w:rsid w:val="1A7327E3"/>
    <w:rsid w:val="1A7D41CF"/>
    <w:rsid w:val="1AE05B70"/>
    <w:rsid w:val="1FD3237E"/>
    <w:rsid w:val="21CE0EBF"/>
    <w:rsid w:val="2218747C"/>
    <w:rsid w:val="25682FC8"/>
    <w:rsid w:val="265F00D1"/>
    <w:rsid w:val="2765692E"/>
    <w:rsid w:val="292D118D"/>
    <w:rsid w:val="294959A9"/>
    <w:rsid w:val="2AE93E4F"/>
    <w:rsid w:val="2B4F5579"/>
    <w:rsid w:val="2DF04FB3"/>
    <w:rsid w:val="30276AB6"/>
    <w:rsid w:val="30A839BB"/>
    <w:rsid w:val="310015C3"/>
    <w:rsid w:val="314E65DB"/>
    <w:rsid w:val="337C3A44"/>
    <w:rsid w:val="392F2CE9"/>
    <w:rsid w:val="3946458D"/>
    <w:rsid w:val="3BAA04B3"/>
    <w:rsid w:val="4382052E"/>
    <w:rsid w:val="44B3102F"/>
    <w:rsid w:val="45D74B80"/>
    <w:rsid w:val="48226858"/>
    <w:rsid w:val="48F7568A"/>
    <w:rsid w:val="4AEA4076"/>
    <w:rsid w:val="4BB12688"/>
    <w:rsid w:val="52E81A14"/>
    <w:rsid w:val="52FF6E61"/>
    <w:rsid w:val="556208CC"/>
    <w:rsid w:val="557E19A4"/>
    <w:rsid w:val="55814DE2"/>
    <w:rsid w:val="56370CF6"/>
    <w:rsid w:val="565E00A1"/>
    <w:rsid w:val="57C35E91"/>
    <w:rsid w:val="59A67F7B"/>
    <w:rsid w:val="5BAE3879"/>
    <w:rsid w:val="5C266858"/>
    <w:rsid w:val="5D4D0AAC"/>
    <w:rsid w:val="5F0D5A38"/>
    <w:rsid w:val="630D6317"/>
    <w:rsid w:val="646A1384"/>
    <w:rsid w:val="64B86B45"/>
    <w:rsid w:val="65A15344"/>
    <w:rsid w:val="6A2B27EE"/>
    <w:rsid w:val="6B2D5230"/>
    <w:rsid w:val="6B9220EA"/>
    <w:rsid w:val="6CC748B8"/>
    <w:rsid w:val="6EA17062"/>
    <w:rsid w:val="6F2C465B"/>
    <w:rsid w:val="6FFF574E"/>
    <w:rsid w:val="715D190A"/>
    <w:rsid w:val="72324FC7"/>
    <w:rsid w:val="79422E85"/>
    <w:rsid w:val="7A2E7751"/>
    <w:rsid w:val="7B533855"/>
    <w:rsid w:val="7BA42ECB"/>
    <w:rsid w:val="7D164783"/>
    <w:rsid w:val="7E004519"/>
    <w:rsid w:val="7E960D71"/>
    <w:rsid w:val="7FABF597"/>
    <w:rsid w:val="99FF8BA6"/>
    <w:rsid w:val="A9A56EBE"/>
    <w:rsid w:val="B31BF48D"/>
    <w:rsid w:val="DCFA95F4"/>
    <w:rsid w:val="EEFFC888"/>
    <w:rsid w:val="F6A1AB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rFonts w:ascii="Times New Roman" w:hAnsi="Times New Roman" w:eastAsia="宋体" w:cs="Times New Roman"/>
      <w:b/>
      <w:kern w:val="44"/>
      <w:sz w:val="44"/>
      <w:szCs w:val="20"/>
      <w:lang w:bidi="ar-SA"/>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cs="Times New Roman"/>
      <w:b/>
      <w:sz w:val="32"/>
      <w:szCs w:val="20"/>
      <w:lang w:bidi="ar-SA"/>
    </w:rPr>
  </w:style>
  <w:style w:type="paragraph" w:styleId="4">
    <w:name w:val="heading 3"/>
    <w:basedOn w:val="1"/>
    <w:next w:val="1"/>
    <w:uiPriority w:val="0"/>
    <w:pPr>
      <w:keepNext/>
      <w:keepLines/>
      <w:widowControl w:val="0"/>
      <w:spacing w:before="260" w:after="260" w:line="415" w:lineRule="auto"/>
      <w:outlineLvl w:val="2"/>
    </w:pPr>
    <w:rPr>
      <w:rFonts w:ascii="Times New Roman" w:hAnsi="Times New Roman" w:eastAsia="宋体" w:cs="Times New Roman"/>
      <w:b/>
      <w:sz w:val="32"/>
      <w:szCs w:val="20"/>
      <w:lang w:bidi="ar-SA"/>
    </w:rPr>
  </w:style>
  <w:style w:type="character" w:default="1" w:styleId="16">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Body Text"/>
    <w:basedOn w:val="1"/>
    <w:next w:val="7"/>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20" w:afterAutospacing="0" w:line="240" w:lineRule="auto"/>
      <w:ind w:left="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styleId="7">
    <w:name w:val="List 5"/>
    <w:basedOn w:val="1"/>
    <w:uiPriority w:val="0"/>
    <w:pPr>
      <w:spacing w:line="240" w:lineRule="auto"/>
      <w:ind w:left="2100" w:hanging="420"/>
    </w:pPr>
    <w:rPr>
      <w:rFonts w:ascii="Times New Roman" w:hAnsi="Times New Roman" w:eastAsia="宋体" w:cs="Times New Roman"/>
      <w:szCs w:val="20"/>
      <w:lang w:bidi="ar-SA"/>
    </w:rPr>
  </w:style>
  <w:style w:type="paragraph" w:styleId="8">
    <w:name w:val="Date"/>
    <w:basedOn w:val="1"/>
    <w:next w:val="1"/>
    <w:link w:val="20"/>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21"/>
    <w:uiPriority w:val="0"/>
    <w:pPr>
      <w:tabs>
        <w:tab w:val="center" w:pos="4153"/>
        <w:tab w:val="right" w:pos="8306"/>
      </w:tabs>
      <w:snapToGrid w:val="0"/>
      <w:jc w:val="left"/>
    </w:pPr>
    <w:rPr>
      <w:sz w:val="18"/>
      <w:szCs w:val="18"/>
    </w:rPr>
  </w:style>
  <w:style w:type="paragraph" w:styleId="11">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snapToGrid/>
      <w:spacing w:line="240" w:lineRule="auto"/>
      <w:ind w:firstLine="0" w:firstLineChars="0"/>
      <w:jc w:val="left"/>
    </w:pPr>
    <w:rPr>
      <w:rFonts w:ascii="Times New Roman" w:hAnsi="Times New Roman" w:eastAsia="仿宋_GB2312" w:cs="Mongolian Baiti"/>
      <w:szCs w:val="28"/>
      <w:lang w:bidi="mn-Mong-CN"/>
    </w:rPr>
  </w:style>
  <w:style w:type="paragraph" w:styleId="13">
    <w:name w:val="toc 2"/>
    <w:basedOn w:val="1"/>
    <w:next w:val="1"/>
    <w:qFormat/>
    <w:uiPriority w:val="39"/>
    <w:pPr>
      <w:widowControl/>
      <w:tabs>
        <w:tab w:val="right" w:leader="dot" w:pos="8296"/>
      </w:tabs>
      <w:spacing w:line="240" w:lineRule="auto"/>
      <w:ind w:left="200" w:leftChars="200" w:firstLine="0" w:firstLineChars="0"/>
      <w:jc w:val="left"/>
    </w:pPr>
    <w:rPr>
      <w:rFonts w:ascii="Times New Roman" w:hAnsi="Times New Roman" w:eastAsia="仿宋_GB2312" w:cs="Mongolian Baiti"/>
      <w:szCs w:val="28"/>
      <w:lang w:bidi="mn-Mong-CN"/>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uiPriority w:val="0"/>
  </w:style>
  <w:style w:type="character" w:styleId="18">
    <w:name w:val="Hyperlink"/>
    <w:qFormat/>
    <w:uiPriority w:val="99"/>
    <w:rPr>
      <w:rFonts w:ascii="Calibri" w:hAnsi="Calibri" w:eastAsia="宋体" w:cs="Mongolian Baiti"/>
      <w:color w:val="0563C1"/>
      <w:u w:val="single"/>
    </w:rPr>
  </w:style>
  <w:style w:type="paragraph" w:customStyle="1" w:styleId="19">
    <w:name w:val="BodyText1I2"/>
    <w:basedOn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40"/>
      <w:jc w:val="both"/>
      <w:textAlignment w:val="baseline"/>
      <w:outlineLvl w:val="9"/>
    </w:pPr>
    <w:rPr>
      <w:rFonts w:ascii="Calibri" w:hAnsi="Calibri" w:eastAsia="仿宋" w:cs="Times New Roman"/>
      <w:snapToGrid/>
      <w:color w:val="auto"/>
      <w:spacing w:val="0"/>
      <w:w w:val="100"/>
      <w:kern w:val="0"/>
      <w:position w:val="0"/>
      <w:sz w:val="20"/>
      <w:szCs w:val="20"/>
      <w:u w:val="none" w:color="auto"/>
      <w:vertAlign w:val="baseline"/>
      <w:lang w:val="en-US" w:eastAsia="zh-CN" w:bidi="ar-SA"/>
    </w:rPr>
  </w:style>
  <w:style w:type="character" w:customStyle="1" w:styleId="20">
    <w:name w:val=" Char Char2"/>
    <w:basedOn w:val="16"/>
    <w:link w:val="8"/>
    <w:uiPriority w:val="0"/>
    <w:rPr>
      <w:rFonts w:ascii="仿宋_GB2312" w:hAnsi="Times New Roman" w:eastAsia="仿宋_GB2312" w:cs="Times New Roman"/>
      <w:kern w:val="2"/>
      <w:sz w:val="32"/>
      <w:szCs w:val="24"/>
      <w:lang w:bidi="ar-SA"/>
    </w:rPr>
  </w:style>
  <w:style w:type="character" w:customStyle="1" w:styleId="21">
    <w:name w:val=" Char Char"/>
    <w:basedOn w:val="16"/>
    <w:link w:val="10"/>
    <w:semiHidden/>
    <w:uiPriority w:val="99"/>
    <w:rPr>
      <w:rFonts w:ascii="Calibri" w:hAnsi="Calibri" w:eastAsia="宋体" w:cs="Mongolian Baiti"/>
      <w:kern w:val="2"/>
      <w:sz w:val="18"/>
      <w:szCs w:val="22"/>
    </w:rPr>
  </w:style>
  <w:style w:type="character" w:customStyle="1" w:styleId="22">
    <w:name w:val=" Char Char1"/>
    <w:basedOn w:val="16"/>
    <w:link w:val="11"/>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41</Pages>
  <Words>21740</Words>
  <Characters>21942</Characters>
  <Lines>1</Lines>
  <Paragraphs>1</Paragraphs>
  <TotalTime>16</TotalTime>
  <ScaleCrop>false</ScaleCrop>
  <LinksUpToDate>false</LinksUpToDate>
  <CharactersWithSpaces>22075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2022-01-12T06:51:32Z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