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内蒙古自治区人民政府关于印发自治区</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矿产资源总体规划（2021—2025年）的通知</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内政发〔2022〕24号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楷体_GBK" w:hAnsi="方正楷体_GBK" w:eastAsia="方正楷体_GBK" w:cs="方正楷体_GBK"/>
          <w:sz w:val="44"/>
          <w:szCs w:val="44"/>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60" w:lineRule="exact"/>
        <w:ind w:firstLine="6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现将《内蒙古自治区矿产资源总体规划（</w:t>
      </w:r>
      <w:r>
        <w:rPr>
          <w:rFonts w:hint="eastAsia" w:ascii="方正楷体_GBK" w:hAnsi="方正楷体_GBK" w:eastAsia="方正楷体_GBK" w:cs="方正楷体_GBK"/>
          <w:sz w:val="32"/>
          <w:szCs w:val="32"/>
          <w:lang w:val="en-US" w:eastAsia="zh-CN"/>
        </w:rPr>
        <w:t>2021—2025年</w:t>
      </w:r>
      <w:r>
        <w:rPr>
          <w:rFonts w:hint="eastAsia" w:ascii="方正楷体_GBK" w:hAnsi="方正楷体_GBK" w:eastAsia="方正楷体_GBK" w:cs="方正楷体_GBK"/>
          <w:sz w:val="32"/>
          <w:szCs w:val="32"/>
          <w:lang w:eastAsia="zh-CN"/>
        </w:rPr>
        <w:t>）》印发给你们，请结合实际，认真贯彻落实。</w:t>
      </w:r>
    </w:p>
    <w:p>
      <w:pPr>
        <w:ind w:firstLine="600"/>
        <w:rPr>
          <w:rFonts w:hint="eastAsia" w:ascii="方正楷体_GBK" w:hAnsi="方正楷体_GBK" w:eastAsia="方正楷体_GBK" w:cs="方正楷体_GBK"/>
          <w:sz w:val="32"/>
          <w:szCs w:val="32"/>
          <w:lang w:eastAsia="zh-CN"/>
        </w:rPr>
      </w:pPr>
    </w:p>
    <w:p>
      <w:pPr>
        <w:ind w:firstLine="600"/>
        <w:rPr>
          <w:rFonts w:hint="eastAsia" w:ascii="方正楷体_GBK" w:hAnsi="方正楷体_GBK" w:eastAsia="方正楷体_GBK" w:cs="方正楷体_GBK"/>
          <w:sz w:val="32"/>
          <w:szCs w:val="32"/>
          <w:lang w:eastAsia="zh-CN"/>
        </w:rPr>
      </w:pPr>
    </w:p>
    <w:p>
      <w:pPr>
        <w:ind w:firstLine="600"/>
        <w:rPr>
          <w:rFonts w:hint="eastAsia" w:ascii="方正楷体_GBK" w:hAnsi="方正楷体_GBK" w:eastAsia="方正楷体_GBK" w:cs="方正楷体_GBK"/>
          <w:sz w:val="32"/>
          <w:szCs w:val="32"/>
          <w:lang w:eastAsia="zh-CN"/>
        </w:rPr>
      </w:pPr>
    </w:p>
    <w:p>
      <w:pPr>
        <w:tabs>
          <w:tab w:val="left" w:pos="7560"/>
        </w:tabs>
        <w:ind w:firstLine="6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2022年8月19日</w:t>
      </w: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val="0"/>
        <w:snapToGrid w:val="0"/>
        <w:spacing w:line="580" w:lineRule="exact"/>
        <w:ind w:left="0" w:firstLine="0" w:firstLineChars="0"/>
        <w:jc w:val="center"/>
        <w:textAlignment w:val="auto"/>
        <w:rPr>
          <w:rFonts w:hint="eastAsia" w:ascii="方正小标宋简体" w:hAnsi="方正小标宋简体" w:eastAsia="方正小标宋简体" w:cs="方正小标宋简体"/>
          <w:b w:val="0"/>
          <w:bCs w:val="0"/>
          <w:snapToGrid w:val="0"/>
          <w:color w:val="000000"/>
          <w:kern w:val="0"/>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ind w:left="0" w:firstLine="0" w:firstLineChars="0"/>
        <w:jc w:val="center"/>
        <w:textAlignment w:val="auto"/>
        <w:rPr>
          <w:rFonts w:hint="eastAsia"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snapToGrid w:val="0"/>
          <w:color w:val="000000"/>
          <w:kern w:val="0"/>
          <w:sz w:val="44"/>
          <w:szCs w:val="44"/>
        </w:rPr>
        <w:t>内蒙古自治区矿产资源总体规划</w:t>
      </w:r>
    </w:p>
    <w:p>
      <w:pPr>
        <w:keepNext w:val="0"/>
        <w:keepLines w:val="0"/>
        <w:pageBreakBefore w:val="0"/>
        <w:widowControl w:val="0"/>
        <w:kinsoku/>
        <w:wordWrap/>
        <w:overflowPunct/>
        <w:topLinePunct/>
        <w:autoSpaceDE/>
        <w:autoSpaceDN/>
        <w:bidi w:val="0"/>
        <w:adjustRightInd w:val="0"/>
        <w:snapToGrid w:val="0"/>
        <w:spacing w:line="580" w:lineRule="exact"/>
        <w:ind w:left="0" w:firstLine="0" w:firstLineChars="0"/>
        <w:jc w:val="center"/>
        <w:textAlignment w:val="auto"/>
        <w:rPr>
          <w:rFonts w:hint="eastAsia" w:ascii="方正仿宋_GBK" w:hAnsi="方正仿宋_GBK" w:eastAsia="方正仿宋_GBK" w:cs="方正仿宋_GBK"/>
          <w:b/>
          <w:bCs/>
          <w:color w:val="000000"/>
          <w:sz w:val="44"/>
          <w:szCs w:val="44"/>
        </w:rPr>
      </w:pPr>
      <w:r>
        <w:rPr>
          <w:rFonts w:hint="eastAsia" w:ascii="方正小标宋简体" w:hAnsi="方正小标宋简体" w:eastAsia="方正小标宋简体" w:cs="方正小标宋简体"/>
          <w:b w:val="0"/>
          <w:bCs w:val="0"/>
          <w:snapToGrid w:val="0"/>
          <w:color w:val="000000"/>
          <w:kern w:val="0"/>
          <w:sz w:val="44"/>
          <w:szCs w:val="44"/>
        </w:rPr>
        <w:t>（2021</w:t>
      </w:r>
      <w:r>
        <w:rPr>
          <w:rFonts w:hint="eastAsia" w:ascii="方正小标宋简体" w:hAnsi="方正小标宋简体" w:eastAsia="方正小标宋简体" w:cs="方正小标宋简体"/>
          <w:b w:val="0"/>
          <w:bCs w:val="0"/>
          <w:snapToGrid w:val="0"/>
          <w:color w:val="000000"/>
          <w:kern w:val="0"/>
          <w:sz w:val="44"/>
          <w:szCs w:val="44"/>
          <w:lang w:eastAsia="zh-CN"/>
        </w:rPr>
        <w:t>—</w:t>
      </w:r>
      <w:r>
        <w:rPr>
          <w:rFonts w:hint="eastAsia" w:ascii="方正小标宋简体" w:hAnsi="方正小标宋简体" w:eastAsia="方正小标宋简体" w:cs="方正小标宋简体"/>
          <w:b w:val="0"/>
          <w:bCs w:val="0"/>
          <w:snapToGrid w:val="0"/>
          <w:color w:val="000000"/>
          <w:kern w:val="0"/>
          <w:sz w:val="44"/>
          <w:szCs w:val="44"/>
        </w:rPr>
        <w:t>2025年）</w:t>
      </w:r>
    </w:p>
    <w:p>
      <w:pPr>
        <w:keepNext w:val="0"/>
        <w:keepLines w:val="0"/>
        <w:pageBreakBefore w:val="0"/>
        <w:widowControl w:val="0"/>
        <w:kinsoku/>
        <w:wordWrap/>
        <w:overflowPunct/>
        <w:topLinePunct/>
        <w:autoSpaceDE/>
        <w:autoSpaceDN/>
        <w:bidi w:val="0"/>
        <w:spacing w:line="580" w:lineRule="exact"/>
        <w:ind w:left="0" w:firstLine="0" w:firstLineChars="0"/>
        <w:jc w:val="both"/>
        <w:textAlignment w:val="auto"/>
        <w:rPr>
          <w:rFonts w:hint="eastAsia" w:ascii="方正黑体_GBK" w:hAnsi="方正黑体_GBK" w:eastAsia="方正黑体_GBK" w:cs="方正黑体_GBK"/>
          <w:b w:val="0"/>
          <w:bCs w:val="0"/>
          <w:color w:val="000000"/>
          <w:sz w:val="36"/>
          <w:szCs w:val="36"/>
          <w:lang w:val="zh-CN"/>
        </w:rPr>
      </w:pPr>
    </w:p>
    <w:p>
      <w:pPr>
        <w:keepNext w:val="0"/>
        <w:keepLines w:val="0"/>
        <w:pageBreakBefore w:val="0"/>
        <w:widowControl w:val="0"/>
        <w:kinsoku/>
        <w:wordWrap/>
        <w:overflowPunct/>
        <w:topLinePunct/>
        <w:autoSpaceDE/>
        <w:autoSpaceDN/>
        <w:bidi w:val="0"/>
        <w:spacing w:line="580" w:lineRule="exact"/>
        <w:ind w:left="0" w:firstLine="0" w:firstLineChars="0"/>
        <w:jc w:val="center"/>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目</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lang w:val="zh-CN"/>
        </w:rPr>
        <w:t>录</w:t>
      </w:r>
    </w:p>
    <w:p>
      <w:pPr>
        <w:keepNext w:val="0"/>
        <w:keepLines w:val="0"/>
        <w:pageBreakBefore w:val="0"/>
        <w:widowControl w:val="0"/>
        <w:kinsoku/>
        <w:wordWrap/>
        <w:overflowPunct/>
        <w:topLinePunct/>
        <w:autoSpaceDE/>
        <w:autoSpaceDN/>
        <w:bidi w:val="0"/>
        <w:spacing w:line="580" w:lineRule="exact"/>
        <w:ind w:left="0" w:firstLine="0" w:firstLineChars="0"/>
        <w:jc w:val="both"/>
        <w:textAlignment w:val="auto"/>
        <w:rPr>
          <w:rFonts w:hint="eastAsia" w:ascii="方正黑体_GBK" w:hAnsi="方正黑体_GBK" w:eastAsia="方正黑体_GBK" w:cs="方正黑体_GBK"/>
          <w:b w:val="0"/>
          <w:bCs w:val="0"/>
          <w:color w:val="000000"/>
          <w:sz w:val="36"/>
          <w:szCs w:val="36"/>
          <w:lang w:val="zh-CN"/>
        </w:rPr>
      </w:pPr>
    </w:p>
    <w:p>
      <w:pPr>
        <w:pStyle w:val="10"/>
        <w:keepNext w:val="0"/>
        <w:keepLines w:val="0"/>
        <w:pageBreakBefore w:val="0"/>
        <w:widowControl w:val="0"/>
        <w:tabs>
          <w:tab w:val="right" w:leader="dot" w:pos="8834"/>
        </w:tabs>
        <w:kinsoku/>
        <w:wordWrap/>
        <w:overflowPunct/>
        <w:topLinePunct/>
        <w:autoSpaceDE/>
        <w:autoSpaceDN/>
        <w:bidi w:val="0"/>
        <w:spacing w:before="0" w:after="0" w:line="580" w:lineRule="exact"/>
        <w:jc w:val="both"/>
        <w:textAlignment w:val="auto"/>
        <w:rPr>
          <w:rFonts w:hint="eastAsia" w:ascii="方正仿宋_GBK" w:hAnsi="方正仿宋_GBK" w:eastAsia="方正仿宋_GBK" w:cs="方正仿宋_GBK"/>
          <w:b w:val="0"/>
          <w:bCs w:val="0"/>
          <w:caps w:val="0"/>
          <w:sz w:val="32"/>
          <w:szCs w:val="32"/>
        </w:rPr>
      </w:pPr>
      <w:r>
        <w:rPr>
          <w:rFonts w:hint="eastAsia" w:ascii="方正仿宋_GBK" w:hAnsi="方正仿宋_GBK" w:eastAsia="方正仿宋_GBK" w:cs="方正仿宋_GBK"/>
          <w:b w:val="0"/>
          <w:bCs w:val="0"/>
          <w:color w:val="000000"/>
          <w:sz w:val="32"/>
          <w:szCs w:val="32"/>
        </w:rPr>
        <w:fldChar w:fldCharType="begin"/>
      </w:r>
      <w:r>
        <w:rPr>
          <w:rFonts w:hint="eastAsia" w:ascii="方正仿宋_GBK" w:hAnsi="方正仿宋_GBK" w:eastAsia="方正仿宋_GBK" w:cs="方正仿宋_GBK"/>
          <w:b w:val="0"/>
          <w:bCs w:val="0"/>
          <w:color w:val="000000"/>
          <w:sz w:val="32"/>
          <w:szCs w:val="32"/>
        </w:rPr>
        <w:instrText xml:space="preserve"> TOC \o "1-2" \h \z \u </w:instrText>
      </w:r>
      <w:r>
        <w:rPr>
          <w:rFonts w:hint="eastAsia" w:ascii="方正仿宋_GBK" w:hAnsi="方正仿宋_GBK" w:eastAsia="方正仿宋_GBK" w:cs="方正仿宋_GBK"/>
          <w:b w:val="0"/>
          <w:bCs w:val="0"/>
          <w:color w:val="000000"/>
          <w:sz w:val="32"/>
          <w:szCs w:val="32"/>
        </w:rPr>
        <w:fldChar w:fldCharType="separate"/>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"_Toc90371289"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总  则</w:t>
      </w:r>
      <w:r>
        <w:rPr>
          <w:rFonts w:hint="eastAsia" w:ascii="方正仿宋_GBK" w:hAnsi="方正仿宋_GBK" w:eastAsia="方正仿宋_GBK" w:cs="方正仿宋_GBK"/>
          <w:b w:val="0"/>
          <w:bCs w:val="0"/>
          <w:sz w:val="32"/>
          <w:szCs w:val="32"/>
        </w:rPr>
        <w:fldChar w:fldCharType="end"/>
      </w:r>
    </w:p>
    <w:p>
      <w:pPr>
        <w:pStyle w:val="10"/>
        <w:keepNext w:val="0"/>
        <w:keepLines w:val="0"/>
        <w:pageBreakBefore w:val="0"/>
        <w:widowControl w:val="0"/>
        <w:tabs>
          <w:tab w:val="right" w:leader="dot" w:pos="8834"/>
        </w:tabs>
        <w:kinsoku/>
        <w:wordWrap/>
        <w:overflowPunct/>
        <w:topLinePunct/>
        <w:autoSpaceDE/>
        <w:autoSpaceDN/>
        <w:bidi w:val="0"/>
        <w:spacing w:before="0" w:after="0" w:line="580" w:lineRule="exact"/>
        <w:jc w:val="both"/>
        <w:textAlignment w:val="auto"/>
        <w:rPr>
          <w:rFonts w:hint="eastAsia" w:ascii="方正仿宋_GBK" w:hAnsi="方正仿宋_GBK" w:eastAsia="方正仿宋_GBK" w:cs="方正仿宋_GBK"/>
          <w:b w:val="0"/>
          <w:bCs w:val="0"/>
          <w: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"_Toc90371290"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第一章</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规划基础</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ind w:left="0" w:leftChars="0" w:firstLine="320" w:firstLineChars="100"/>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"_Toc90371291"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第一节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资源现状</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ind w:left="0" w:leftChars="0" w:firstLine="320" w:firstLineChars="100"/>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"_Toc90371292"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第二节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发展成就</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ind w:left="0" w:leftChars="0" w:firstLine="320" w:firstLineChars="100"/>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"_Toc90371293"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第三节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面临形势</w:t>
      </w:r>
      <w:r>
        <w:rPr>
          <w:rFonts w:hint="eastAsia" w:ascii="方正仿宋_GBK" w:hAnsi="方正仿宋_GBK" w:eastAsia="方正仿宋_GBK" w:cs="方正仿宋_GBK"/>
          <w:b w:val="0"/>
          <w:bCs w:val="0"/>
          <w:sz w:val="32"/>
          <w:szCs w:val="32"/>
        </w:rPr>
        <w:fldChar w:fldCharType="end"/>
      </w:r>
    </w:p>
    <w:p>
      <w:pPr>
        <w:pStyle w:val="10"/>
        <w:keepNext w:val="0"/>
        <w:keepLines w:val="0"/>
        <w:pageBreakBefore w:val="0"/>
        <w:widowControl w:val="0"/>
        <w:tabs>
          <w:tab w:val="right" w:leader="dot" w:pos="8834"/>
        </w:tabs>
        <w:kinsoku/>
        <w:wordWrap/>
        <w:overflowPunct/>
        <w:topLinePunct/>
        <w:autoSpaceDE/>
        <w:autoSpaceDN/>
        <w:bidi w:val="0"/>
        <w:spacing w:before="0" w:after="0" w:line="580" w:lineRule="exact"/>
        <w:jc w:val="both"/>
        <w:textAlignment w:val="auto"/>
        <w:rPr>
          <w:rFonts w:hint="eastAsia" w:ascii="方正仿宋_GBK" w:hAnsi="方正仿宋_GBK" w:eastAsia="方正仿宋_GBK" w:cs="方正仿宋_GBK"/>
          <w:b w:val="0"/>
          <w:bCs w:val="0"/>
          <w: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"_Toc90371294"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第二章</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指导思想与基本原则</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"_Toc90371295"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第一节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指导思想</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"_Toc90371296"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第二节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基本原则</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"_Toc90371297"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第三节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规划目标</w:t>
      </w:r>
      <w:r>
        <w:rPr>
          <w:rFonts w:hint="eastAsia" w:ascii="方正仿宋_GBK" w:hAnsi="方正仿宋_GBK" w:eastAsia="方正仿宋_GBK" w:cs="方正仿宋_GBK"/>
          <w:b w:val="0"/>
          <w:bCs w:val="0"/>
          <w:sz w:val="32"/>
          <w:szCs w:val="32"/>
        </w:rPr>
        <w:fldChar w:fldCharType="end"/>
      </w:r>
    </w:p>
    <w:p>
      <w:pPr>
        <w:pStyle w:val="10"/>
        <w:keepNext w:val="0"/>
        <w:keepLines w:val="0"/>
        <w:pageBreakBefore w:val="0"/>
        <w:widowControl w:val="0"/>
        <w:tabs>
          <w:tab w:val="right" w:leader="dot" w:pos="8834"/>
        </w:tabs>
        <w:kinsoku/>
        <w:wordWrap/>
        <w:overflowPunct/>
        <w:topLinePunct/>
        <w:autoSpaceDE/>
        <w:autoSpaceDN/>
        <w:bidi w:val="0"/>
        <w:spacing w:before="0" w:after="0" w:line="580" w:lineRule="exact"/>
        <w:jc w:val="both"/>
        <w:textAlignment w:val="auto"/>
        <w:rPr>
          <w:rFonts w:hint="eastAsia" w:ascii="方正仿宋_GBK" w:hAnsi="方正仿宋_GBK" w:eastAsia="方正仿宋_GBK" w:cs="方正仿宋_GBK"/>
          <w:b w:val="0"/>
          <w:bCs w:val="0"/>
          <w: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"_Toc90371298"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第三章</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矿产资源保护和勘查开发总体布局</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"_Toc90371299"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第一节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统筹矿产资源勘查开发区域布局</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"_Toc90371300"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第二节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提升能源资源基地建设水平</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"_Toc90371301"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第三节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强化国家规划矿区保障能力</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"_Toc90371302"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第四节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加强矿产资源保护区管控</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"_Toc90371303"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第五节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规范重点勘查开采规划分区建设</w:t>
      </w:r>
      <w:r>
        <w:rPr>
          <w:rFonts w:hint="eastAsia" w:ascii="方正仿宋_GBK" w:hAnsi="方正仿宋_GBK" w:eastAsia="方正仿宋_GBK" w:cs="方正仿宋_GBK"/>
          <w:b w:val="0"/>
          <w:bCs w:val="0"/>
          <w:sz w:val="32"/>
          <w:szCs w:val="32"/>
        </w:rPr>
        <w:fldChar w:fldCharType="end"/>
      </w:r>
    </w:p>
    <w:p>
      <w:pPr>
        <w:pStyle w:val="10"/>
        <w:keepNext w:val="0"/>
        <w:keepLines w:val="0"/>
        <w:pageBreakBefore w:val="0"/>
        <w:widowControl w:val="0"/>
        <w:tabs>
          <w:tab w:val="right" w:leader="dot" w:pos="8834"/>
        </w:tabs>
        <w:kinsoku/>
        <w:wordWrap/>
        <w:overflowPunct/>
        <w:topLinePunct/>
        <w:autoSpaceDE/>
        <w:autoSpaceDN/>
        <w:bidi w:val="0"/>
        <w:spacing w:before="0" w:after="0" w:line="580" w:lineRule="exact"/>
        <w:jc w:val="both"/>
        <w:textAlignment w:val="auto"/>
        <w:rPr>
          <w:rFonts w:hint="eastAsia" w:ascii="方正仿宋_GBK" w:hAnsi="方正仿宋_GBK" w:eastAsia="方正仿宋_GBK" w:cs="方正仿宋_GBK"/>
          <w:b w:val="0"/>
          <w:bCs w:val="0"/>
          <w: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"_Toc90371304"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第四章</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矿产资源调查评价与勘查</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"_Toc90371305"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第一节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统筹推进基础地质调查与评价</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"_Toc90371306"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第二节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稳步开展矿产资源勘查</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"_Toc90371307"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第三节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加强矿产资源勘查管理</w:t>
      </w:r>
      <w:r>
        <w:rPr>
          <w:rFonts w:hint="eastAsia" w:ascii="方正仿宋_GBK" w:hAnsi="方正仿宋_GBK" w:eastAsia="方正仿宋_GBK" w:cs="方正仿宋_GBK"/>
          <w:b w:val="0"/>
          <w:bCs w:val="0"/>
          <w:sz w:val="32"/>
          <w:szCs w:val="32"/>
        </w:rPr>
        <w:fldChar w:fldCharType="end"/>
      </w:r>
    </w:p>
    <w:p>
      <w:pPr>
        <w:pStyle w:val="10"/>
        <w:keepNext w:val="0"/>
        <w:keepLines w:val="0"/>
        <w:pageBreakBefore w:val="0"/>
        <w:widowControl w:val="0"/>
        <w:tabs>
          <w:tab w:val="right" w:leader="dot" w:pos="8834"/>
        </w:tabs>
        <w:kinsoku/>
        <w:wordWrap/>
        <w:overflowPunct/>
        <w:topLinePunct/>
        <w:autoSpaceDE/>
        <w:autoSpaceDN/>
        <w:bidi w:val="0"/>
        <w:spacing w:before="0" w:after="0" w:line="580" w:lineRule="exact"/>
        <w:jc w:val="both"/>
        <w:textAlignment w:val="auto"/>
        <w:rPr>
          <w:rFonts w:hint="eastAsia" w:ascii="方正仿宋_GBK" w:hAnsi="方正仿宋_GBK" w:eastAsia="方正仿宋_GBK" w:cs="方正仿宋_GBK"/>
          <w:b w:val="0"/>
          <w:bCs w:val="0"/>
          <w: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"_Toc90371308"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第五章</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矿产资源保护与开发利用</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"_Toc90371309"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第一节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持续开展矿产资源差别化管控</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"_Toc90371310"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第二节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逐步完善矿产资源开发利用结构</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"_Toc90371311"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第三节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全面提高矿产资源利用效率</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"_Toc90371312"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第四节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加强矿产资源开发管理</w:t>
      </w:r>
      <w:r>
        <w:rPr>
          <w:rFonts w:hint="eastAsia" w:ascii="方正仿宋_GBK" w:hAnsi="方正仿宋_GBK" w:eastAsia="方正仿宋_GBK" w:cs="方正仿宋_GBK"/>
          <w:b w:val="0"/>
          <w:bCs w:val="0"/>
          <w:sz w:val="32"/>
          <w:szCs w:val="32"/>
        </w:rPr>
        <w:fldChar w:fldCharType="end"/>
      </w:r>
    </w:p>
    <w:p>
      <w:pPr>
        <w:pStyle w:val="10"/>
        <w:keepNext w:val="0"/>
        <w:keepLines w:val="0"/>
        <w:pageBreakBefore w:val="0"/>
        <w:widowControl w:val="0"/>
        <w:tabs>
          <w:tab w:val="right" w:leader="dot" w:pos="8834"/>
        </w:tabs>
        <w:kinsoku/>
        <w:wordWrap/>
        <w:overflowPunct/>
        <w:topLinePunct/>
        <w:autoSpaceDE/>
        <w:autoSpaceDN/>
        <w:bidi w:val="0"/>
        <w:spacing w:before="0" w:after="0" w:line="580" w:lineRule="exact"/>
        <w:jc w:val="both"/>
        <w:textAlignment w:val="auto"/>
        <w:rPr>
          <w:rFonts w:hint="eastAsia" w:ascii="方正仿宋_GBK" w:hAnsi="方正仿宋_GBK" w:eastAsia="方正仿宋_GBK" w:cs="方正仿宋_GBK"/>
          <w:b w:val="0"/>
          <w:bCs w:val="0"/>
          <w: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"_Toc90371313"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第六章</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矿业绿色发展</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"_Toc90371314"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第一节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全面推进绿色矿山建设</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"_Toc90371315"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第二节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着力加强矿山地质环境治理</w:t>
      </w:r>
      <w:r>
        <w:rPr>
          <w:rFonts w:hint="eastAsia" w:ascii="方正仿宋_GBK" w:hAnsi="方正仿宋_GBK" w:eastAsia="方正仿宋_GBK" w:cs="方正仿宋_GBK"/>
          <w:b w:val="0"/>
          <w:bCs w:val="0"/>
          <w:sz w:val="32"/>
          <w:szCs w:val="32"/>
        </w:rPr>
        <w:fldChar w:fldCharType="end"/>
      </w:r>
    </w:p>
    <w:p>
      <w:pPr>
        <w:pStyle w:val="10"/>
        <w:keepNext w:val="0"/>
        <w:keepLines w:val="0"/>
        <w:pageBreakBefore w:val="0"/>
        <w:widowControl w:val="0"/>
        <w:tabs>
          <w:tab w:val="right" w:leader="dot" w:pos="8834"/>
        </w:tabs>
        <w:kinsoku/>
        <w:wordWrap/>
        <w:overflowPunct/>
        <w:topLinePunct/>
        <w:autoSpaceDE/>
        <w:autoSpaceDN/>
        <w:bidi w:val="0"/>
        <w:spacing w:before="0" w:after="0" w:line="580" w:lineRule="exact"/>
        <w:jc w:val="both"/>
        <w:textAlignment w:val="auto"/>
        <w:rPr>
          <w:rFonts w:hint="eastAsia" w:ascii="方正仿宋_GBK" w:hAnsi="方正仿宋_GBK" w:eastAsia="方正仿宋_GBK" w:cs="方正仿宋_GBK"/>
          <w:b w:val="0"/>
          <w:bCs w:val="0"/>
          <w: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"_Toc90371316"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第七章</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规划实施与管理</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"_Toc90371317"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第一节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加强组织领导</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"_Toc90371318"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第二节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强化规划管控作用</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"_Toc90371319"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第三节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严格目标责任考核和审批制度</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仿宋_GBK" w:hAnsi="方正仿宋_GBK" w:eastAsia="方正仿宋_GBK" w:cs="方正仿宋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"_Toc90371320"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第四节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强化规划实施评估和监督检查</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jc w:val="both"/>
        <w:textAlignment w:val="auto"/>
        <w:rPr>
          <w:rFonts w:hint="eastAsia" w:ascii="方正楷体_GBK" w:hAnsi="方正楷体_GBK" w:eastAsia="方正楷体_GBK" w:cs="方正楷体_GBK"/>
          <w:b w:val="0"/>
          <w:bCs w:val="0"/>
          <w:smallCaps w:val="0"/>
          <w:sz w:val="32"/>
          <w:szCs w:val="32"/>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HYPERLINK \l "_Toc90371321" </w:instrText>
      </w:r>
      <w:r>
        <w:rPr>
          <w:rFonts w:hint="eastAsia" w:ascii="方正仿宋_GBK" w:hAnsi="方正仿宋_GBK" w:eastAsia="方正仿宋_GBK" w:cs="方正仿宋_GBK"/>
          <w:b w:val="0"/>
          <w:bCs w:val="0"/>
          <w:sz w:val="32"/>
          <w:szCs w:val="32"/>
        </w:rPr>
        <w:fldChar w:fldCharType="separate"/>
      </w:r>
      <w:r>
        <w:rPr>
          <w:rStyle w:val="17"/>
          <w:rFonts w:hint="eastAsia" w:ascii="方正仿宋_GBK" w:hAnsi="方正仿宋_GBK" w:eastAsia="方正仿宋_GBK" w:cs="方正仿宋_GBK"/>
          <w:b w:val="0"/>
          <w:bCs w:val="0"/>
          <w:sz w:val="32"/>
          <w:szCs w:val="32"/>
        </w:rPr>
        <w:t>第五节</w:t>
      </w:r>
      <w:r>
        <w:rPr>
          <w:rStyle w:val="17"/>
          <w:rFonts w:hint="eastAsia" w:ascii="方正仿宋_GBK" w:hAnsi="方正仿宋_GBK" w:eastAsia="方正仿宋_GBK" w:cs="方正仿宋_GBK"/>
          <w:b w:val="0"/>
          <w:bCs w:val="0"/>
          <w:sz w:val="32"/>
          <w:szCs w:val="32"/>
          <w:lang w:val="en-US" w:eastAsia="zh-CN"/>
        </w:rPr>
        <w:t xml:space="preserve">  </w:t>
      </w:r>
      <w:r>
        <w:rPr>
          <w:rStyle w:val="17"/>
          <w:rFonts w:hint="eastAsia" w:ascii="方正仿宋_GBK" w:hAnsi="方正仿宋_GBK" w:eastAsia="方正仿宋_GBK" w:cs="方正仿宋_GBK"/>
          <w:b w:val="0"/>
          <w:bCs w:val="0"/>
          <w:sz w:val="32"/>
          <w:szCs w:val="32"/>
        </w:rPr>
        <w:t>提高规划管理信息化水平</w:t>
      </w:r>
      <w:r>
        <w:rPr>
          <w:rFonts w:hint="eastAsia" w:ascii="方正仿宋_GBK" w:hAnsi="方正仿宋_GBK" w:eastAsia="方正仿宋_GBK" w:cs="方正仿宋_GBK"/>
          <w:b w:val="0"/>
          <w:bCs w:val="0"/>
          <w:sz w:val="32"/>
          <w:szCs w:val="32"/>
        </w:rPr>
        <w:fldChar w:fldCharType="end"/>
      </w:r>
    </w:p>
    <w:p>
      <w:pPr>
        <w:pStyle w:val="11"/>
        <w:keepNext w:val="0"/>
        <w:keepLines w:val="0"/>
        <w:pageBreakBefore w:val="0"/>
        <w:widowControl w:val="0"/>
        <w:tabs>
          <w:tab w:val="right" w:leader="dot" w:pos="8834"/>
        </w:tabs>
        <w:kinsoku/>
        <w:wordWrap/>
        <w:overflowPunct/>
        <w:topLinePunct/>
        <w:autoSpaceDE/>
        <w:autoSpaceDN/>
        <w:bidi w:val="0"/>
        <w:spacing w:line="580" w:lineRule="exact"/>
        <w:ind w:left="0" w:firstLine="560"/>
        <w:jc w:val="both"/>
        <w:textAlignment w:val="auto"/>
        <w:rPr>
          <w:rFonts w:hint="eastAsia" w:ascii="方正仿宋_GBK" w:hAnsi="方正仿宋_GBK" w:eastAsia="方正仿宋_GBK" w:cs="方正仿宋_GBK"/>
          <w:b/>
          <w:bCs/>
          <w:color w:val="000000"/>
          <w:sz w:val="32"/>
          <w:szCs w:val="32"/>
        </w:rPr>
        <w:sectPr>
          <w:headerReference r:id="rId3" w:type="default"/>
          <w:footerReference r:id="rId4" w:type="default"/>
          <w:footerReference r:id="rId5" w:type="even"/>
          <w:pgSz w:w="11906" w:h="16838"/>
          <w:pgMar w:top="2098" w:right="1474" w:bottom="1701" w:left="1474" w:header="851" w:footer="1417" w:gutter="0"/>
          <w:paperSrc/>
          <w:pgNumType w:fmt="numberInDash"/>
          <w:cols w:space="720" w:num="1"/>
          <w:rtlGutter w:val="0"/>
          <w:docGrid w:type="lines" w:linePitch="312" w:charSpace="0"/>
        </w:sectPr>
      </w:pPr>
      <w:r>
        <w:rPr>
          <w:rFonts w:hint="eastAsia" w:ascii="方正仿宋_GBK" w:hAnsi="方正仿宋_GBK" w:eastAsia="方正仿宋_GBK" w:cs="方正仿宋_GBK"/>
          <w:b w:val="0"/>
          <w:bCs w:val="0"/>
          <w:color w:val="000000"/>
          <w:sz w:val="32"/>
          <w:szCs w:val="32"/>
        </w:rPr>
        <w:fldChar w:fldCharType="end"/>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jc w:val="center"/>
        <w:textAlignment w:val="auto"/>
        <w:rPr>
          <w:rFonts w:hint="eastAsia" w:ascii="黑体" w:hAnsi="黑体" w:eastAsia="黑体" w:cs="黑体"/>
          <w:b w:val="0"/>
          <w:bCs w:val="0"/>
          <w:color w:val="000000"/>
          <w:sz w:val="32"/>
          <w:szCs w:val="32"/>
        </w:rPr>
      </w:pPr>
      <w:bookmarkStart w:id="0" w:name="_Toc69226981"/>
      <w:bookmarkStart w:id="1" w:name="_Toc60502774"/>
      <w:bookmarkStart w:id="2" w:name="_Toc90371289"/>
      <w:r>
        <w:rPr>
          <w:rFonts w:hint="eastAsia" w:ascii="黑体" w:hAnsi="黑体" w:eastAsia="黑体" w:cs="黑体"/>
          <w:b w:val="0"/>
          <w:bCs w:val="0"/>
          <w:color w:val="000000"/>
          <w:sz w:val="32"/>
          <w:szCs w:val="32"/>
        </w:rPr>
        <w:t>总</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则</w:t>
      </w:r>
      <w:bookmarkEnd w:id="0"/>
      <w:bookmarkEnd w:id="1"/>
      <w:bookmarkEnd w:id="2"/>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为提高矿产资源保障能力，推进资源高效利用，推动自治区矿产资源勘查开发走以生态优先、绿色发展为导向的高质量发展新路子，依据《中华人民共和国矿产资源法》及其配套法律法规，《矿产资源规划编制实施办法》《黄河流域生态保护和高质量发展规划纲要》《全国矿产资源规划（2021—2025年）》《内蒙古自治区国民经济和社会发展第十四个五年规划和2035年远景目标纲要》等，</w:t>
      </w:r>
      <w:r>
        <w:rPr>
          <w:rFonts w:hint="eastAsia" w:ascii="方正仿宋_GBK" w:hAnsi="方正仿宋_GBK" w:eastAsia="方正仿宋_GBK" w:cs="方正仿宋_GBK"/>
          <w:b w:val="0"/>
          <w:bCs w:val="0"/>
          <w:snapToGrid w:val="0"/>
          <w:color w:val="000000"/>
          <w:kern w:val="0"/>
          <w:sz w:val="32"/>
          <w:szCs w:val="32"/>
          <w:lang w:eastAsia="zh-CN"/>
        </w:rPr>
        <w:t>结合自治区实际，</w:t>
      </w:r>
      <w:r>
        <w:rPr>
          <w:rFonts w:hint="eastAsia" w:ascii="方正仿宋_GBK" w:hAnsi="方正仿宋_GBK" w:eastAsia="方正仿宋_GBK" w:cs="方正仿宋_GBK"/>
          <w:b w:val="0"/>
          <w:bCs w:val="0"/>
          <w:snapToGrid w:val="0"/>
          <w:color w:val="000000"/>
          <w:kern w:val="0"/>
          <w:sz w:val="32"/>
          <w:szCs w:val="32"/>
        </w:rPr>
        <w:t>制定《内蒙古自治区矿产资源总体规划（2021—2025年）》（以下简称《规划》）。</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《规划》是加强和改善矿产资源宏观管理的重要手段，是内蒙古自治区依法审批和监督管理矿产资源勘查、开发利用与保护活动的重要依据，是</w:t>
      </w:r>
      <w:r>
        <w:rPr>
          <w:rFonts w:hint="eastAsia" w:ascii="方正仿宋_GBK" w:hAnsi="方正仿宋_GBK" w:eastAsia="方正仿宋_GBK" w:cs="方正仿宋_GBK"/>
          <w:b w:val="0"/>
          <w:bCs w:val="0"/>
          <w:snapToGrid w:val="0"/>
          <w:color w:val="000000"/>
          <w:kern w:val="0"/>
          <w:sz w:val="32"/>
          <w:szCs w:val="32"/>
          <w:lang w:eastAsia="zh-CN"/>
        </w:rPr>
        <w:t>盟市、旗县</w:t>
      </w:r>
      <w:r>
        <w:rPr>
          <w:rFonts w:hint="eastAsia" w:ascii="方正仿宋_GBK" w:hAnsi="方正仿宋_GBK" w:eastAsia="方正仿宋_GBK" w:cs="方正仿宋_GBK"/>
          <w:b w:val="0"/>
          <w:bCs w:val="0"/>
          <w:snapToGrid w:val="0"/>
          <w:color w:val="000000"/>
          <w:kern w:val="0"/>
          <w:sz w:val="32"/>
          <w:szCs w:val="32"/>
        </w:rPr>
        <w:t>级矿产资源规划的重要遵循。涉及自治区矿产资源勘查开发活动的相关行业及区域规划，应当与本《规划》相衔接。</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auto"/>
          <w:kern w:val="0"/>
          <w:sz w:val="32"/>
          <w:szCs w:val="32"/>
        </w:rPr>
      </w:pPr>
      <w:r>
        <w:rPr>
          <w:rFonts w:hint="eastAsia" w:ascii="方正仿宋_GBK" w:hAnsi="方正仿宋_GBK" w:eastAsia="方正仿宋_GBK" w:cs="方正仿宋_GBK"/>
          <w:b w:val="0"/>
          <w:bCs w:val="0"/>
          <w:snapToGrid w:val="0"/>
          <w:color w:val="auto"/>
          <w:kern w:val="0"/>
          <w:sz w:val="32"/>
          <w:szCs w:val="32"/>
        </w:rPr>
        <w:t>《规划》适用范围为内蒙古自治区行政区域矿产资源。</w:t>
      </w:r>
    </w:p>
    <w:p>
      <w:pPr>
        <w:keepNext w:val="0"/>
        <w:keepLines w:val="0"/>
        <w:pageBreakBefore w:val="0"/>
        <w:widowControl w:val="0"/>
        <w:kinsoku/>
        <w:wordWrap/>
        <w:overflowPunct/>
        <w:topLinePunct/>
        <w:autoSpaceDE/>
        <w:autoSpaceDN/>
        <w:bidi w:val="0"/>
        <w:adjustRightInd/>
        <w:snapToGrid w:val="0"/>
        <w:spacing w:line="580" w:lineRule="exact"/>
        <w:ind w:firstLine="640" w:firstLineChars="200"/>
        <w:jc w:val="both"/>
        <w:textAlignment w:val="auto"/>
        <w:rPr>
          <w:rFonts w:hint="eastAsia" w:ascii="方正仿宋_GBK" w:hAnsi="方正仿宋_GBK" w:eastAsia="方正仿宋_GBK" w:cs="方正仿宋_GBK"/>
          <w:b w:val="0"/>
          <w:bCs w:val="0"/>
          <w:snapToGrid w:val="0"/>
          <w:color w:val="000000"/>
          <w:spacing w:val="-6"/>
          <w:kern w:val="0"/>
          <w:sz w:val="32"/>
          <w:szCs w:val="32"/>
        </w:rPr>
      </w:pPr>
      <w:r>
        <w:rPr>
          <w:rFonts w:hint="eastAsia" w:ascii="方正仿宋_GBK" w:hAnsi="方正仿宋_GBK" w:eastAsia="方正仿宋_GBK" w:cs="方正仿宋_GBK"/>
          <w:b w:val="0"/>
          <w:bCs w:val="0"/>
          <w:snapToGrid w:val="0"/>
          <w:color w:val="000000"/>
          <w:kern w:val="0"/>
          <w:sz w:val="32"/>
          <w:szCs w:val="32"/>
        </w:rPr>
        <w:t>《规划》</w:t>
      </w:r>
      <w:r>
        <w:rPr>
          <w:rFonts w:hint="eastAsia" w:ascii="方正仿宋_GBK" w:hAnsi="方正仿宋_GBK" w:eastAsia="方正仿宋_GBK" w:cs="方正仿宋_GBK"/>
          <w:b w:val="0"/>
          <w:bCs w:val="0"/>
          <w:snapToGrid/>
          <w:color w:val="000000"/>
          <w:spacing w:val="0"/>
          <w:kern w:val="0"/>
          <w:sz w:val="32"/>
          <w:szCs w:val="32"/>
        </w:rPr>
        <w:t>以2020年为基期，</w:t>
      </w:r>
      <w:r>
        <w:rPr>
          <w:rFonts w:hint="eastAsia" w:ascii="方正仿宋_GBK" w:hAnsi="方正仿宋_GBK" w:eastAsia="方正仿宋_GBK" w:cs="方正仿宋_GBK"/>
          <w:b w:val="0"/>
          <w:bCs w:val="0"/>
          <w:snapToGrid/>
          <w:color w:val="000000"/>
          <w:spacing w:val="-6"/>
          <w:kern w:val="0"/>
          <w:sz w:val="32"/>
          <w:szCs w:val="32"/>
        </w:rPr>
        <w:t>2021</w:t>
      </w:r>
      <w:r>
        <w:rPr>
          <w:rFonts w:hint="eastAsia" w:ascii="方正仿宋_GBK" w:hAnsi="方正仿宋_GBK" w:eastAsia="方正仿宋_GBK" w:cs="方正仿宋_GBK"/>
          <w:b w:val="0"/>
          <w:bCs w:val="0"/>
          <w:snapToGrid/>
          <w:color w:val="000000"/>
          <w:spacing w:val="-6"/>
          <w:kern w:val="0"/>
          <w:sz w:val="32"/>
          <w:szCs w:val="32"/>
          <w:lang w:eastAsia="zh-CN"/>
        </w:rPr>
        <w:t>—</w:t>
      </w:r>
      <w:r>
        <w:rPr>
          <w:rFonts w:hint="eastAsia" w:ascii="方正仿宋_GBK" w:hAnsi="方正仿宋_GBK" w:eastAsia="方正仿宋_GBK" w:cs="方正仿宋_GBK"/>
          <w:b w:val="0"/>
          <w:bCs w:val="0"/>
          <w:snapToGrid/>
          <w:color w:val="000000"/>
          <w:spacing w:val="-6"/>
          <w:kern w:val="0"/>
          <w:sz w:val="32"/>
          <w:szCs w:val="32"/>
        </w:rPr>
        <w:t>2025年为规划期，展望到</w:t>
      </w:r>
    </w:p>
    <w:p>
      <w:pPr>
        <w:keepNext w:val="0"/>
        <w:keepLines w:val="0"/>
        <w:pageBreakBefore w:val="0"/>
        <w:widowControl w:val="0"/>
        <w:kinsoku/>
        <w:wordWrap/>
        <w:overflowPunct/>
        <w:topLinePunct/>
        <w:autoSpaceDE/>
        <w:autoSpaceDN/>
        <w:bidi w:val="0"/>
        <w:adjustRightInd/>
        <w:snapToGrid w:val="0"/>
        <w:spacing w:line="580" w:lineRule="exact"/>
        <w:jc w:val="both"/>
        <w:textAlignment w:val="auto"/>
        <w:rPr>
          <w:rFonts w:hint="eastAsia" w:ascii="方正黑体_GBK" w:hAnsi="方正黑体_GBK" w:eastAsia="方正黑体_GBK" w:cs="方正黑体_GBK"/>
          <w:b w:val="0"/>
          <w:bCs w:val="0"/>
          <w:color w:val="000000"/>
          <w:sz w:val="36"/>
          <w:szCs w:val="36"/>
        </w:rPr>
      </w:pPr>
      <w:r>
        <w:rPr>
          <w:rFonts w:hint="eastAsia" w:ascii="方正仿宋_GBK" w:hAnsi="方正仿宋_GBK" w:eastAsia="方正仿宋_GBK" w:cs="方正仿宋_GBK"/>
          <w:b w:val="0"/>
          <w:bCs w:val="0"/>
          <w:snapToGrid w:val="0"/>
          <w:color w:val="000000"/>
          <w:kern w:val="0"/>
          <w:sz w:val="32"/>
          <w:szCs w:val="32"/>
        </w:rPr>
        <w:t>2035年。</w:t>
      </w:r>
      <w:bookmarkStart w:id="3" w:name="_Toc46669435"/>
      <w:bookmarkStart w:id="4" w:name="_Toc60502775"/>
      <w:bookmarkStart w:id="5" w:name="_Toc71799454"/>
      <w:bookmarkStart w:id="6" w:name="_Toc69226982"/>
      <w:bookmarkStart w:id="7" w:name="_Toc90371290"/>
    </w:p>
    <w:p>
      <w:pPr>
        <w:pStyle w:val="2"/>
        <w:keepNext w:val="0"/>
        <w:keepLines w:val="0"/>
        <w:pageBreakBefore w:val="0"/>
        <w:widowControl w:val="0"/>
        <w:kinsoku/>
        <w:wordWrap/>
        <w:overflowPunct/>
        <w:topLinePunct/>
        <w:autoSpaceDE/>
        <w:autoSpaceDN/>
        <w:bidi w:val="0"/>
        <w:adjustRightInd/>
        <w:snapToGrid/>
        <w:spacing w:before="188" w:beforeLines="60" w:after="188" w:afterLines="60" w:line="580" w:lineRule="exact"/>
        <w:ind w:lef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第一章</w:t>
      </w:r>
      <w:bookmarkEnd w:id="3"/>
      <w:bookmarkEnd w:id="4"/>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规划基础</w:t>
      </w:r>
      <w:bookmarkEnd w:id="5"/>
      <w:bookmarkEnd w:id="6"/>
      <w:bookmarkEnd w:id="7"/>
    </w:p>
    <w:p>
      <w:pPr>
        <w:pStyle w:val="3"/>
        <w:keepNext w:val="0"/>
        <w:keepLines w:val="0"/>
        <w:pageBreakBefore w:val="0"/>
        <w:widowControl w:val="0"/>
        <w:kinsoku/>
        <w:wordWrap/>
        <w:overflowPunct/>
        <w:topLinePunct/>
        <w:autoSpaceDE/>
        <w:autoSpaceDN/>
        <w:bidi w:val="0"/>
        <w:adjustRightInd/>
        <w:snapToGrid/>
        <w:spacing w:before="188" w:beforeLines="60" w:after="188" w:afterLines="60" w:line="580" w:lineRule="exact"/>
        <w:ind w:left="0" w:firstLine="0" w:firstLineChars="0"/>
        <w:jc w:val="center"/>
        <w:textAlignment w:val="auto"/>
        <w:rPr>
          <w:rFonts w:hint="eastAsia" w:ascii="方正楷体_GBK" w:hAnsi="方正楷体_GBK" w:eastAsia="方正楷体_GBK" w:cs="方正楷体_GBK"/>
          <w:b w:val="0"/>
          <w:bCs w:val="0"/>
          <w:color w:val="000000"/>
          <w:kern w:val="44"/>
          <w:sz w:val="32"/>
          <w:szCs w:val="32"/>
          <w:lang w:val="en-US" w:eastAsia="zh-CN" w:bidi="mn-Mong-CN"/>
        </w:rPr>
      </w:pPr>
      <w:bookmarkStart w:id="8" w:name="_Toc60502776"/>
      <w:bookmarkStart w:id="9" w:name="_Toc90371291"/>
      <w:bookmarkStart w:id="10" w:name="_Toc71799455"/>
      <w:bookmarkStart w:id="11" w:name="_Toc69226983"/>
      <w:r>
        <w:rPr>
          <w:rFonts w:hint="eastAsia" w:ascii="方正楷体_GBK" w:hAnsi="方正楷体_GBK" w:eastAsia="方正楷体_GBK" w:cs="方正楷体_GBK"/>
          <w:b w:val="0"/>
          <w:bCs w:val="0"/>
          <w:color w:val="000000"/>
          <w:kern w:val="44"/>
          <w:sz w:val="32"/>
          <w:szCs w:val="32"/>
          <w:lang w:val="en-US" w:eastAsia="zh-CN" w:bidi="mn-Mong-CN"/>
        </w:rPr>
        <w:t>第一节</w:t>
      </w:r>
      <w:bookmarkEnd w:id="8"/>
      <w:r>
        <w:rPr>
          <w:rFonts w:hint="eastAsia" w:ascii="方正楷体_GBK" w:hAnsi="方正楷体_GBK" w:eastAsia="方正楷体_GBK" w:cs="方正楷体_GBK"/>
          <w:b w:val="0"/>
          <w:bCs w:val="0"/>
          <w:color w:val="000000"/>
          <w:kern w:val="44"/>
          <w:sz w:val="32"/>
          <w:szCs w:val="32"/>
          <w:lang w:val="en-US" w:eastAsia="zh-CN" w:bidi="mn-Mong-CN"/>
        </w:rPr>
        <w:t xml:space="preserve">  资源现状</w:t>
      </w:r>
      <w:bookmarkEnd w:id="9"/>
      <w:bookmarkEnd w:id="10"/>
      <w:bookmarkEnd w:id="11"/>
    </w:p>
    <w:p>
      <w:pPr>
        <w:pStyle w:val="2"/>
        <w:keepNext w:val="0"/>
        <w:keepLines w:val="0"/>
        <w:pageBreakBefore w:val="0"/>
        <w:widowControl w:val="0"/>
        <w:kinsoku/>
        <w:wordWrap/>
        <w:overflowPunct/>
        <w:topLinePunct/>
        <w:autoSpaceDE/>
        <w:autoSpaceDN/>
        <w:bidi w:val="0"/>
        <w:adjustRightInd/>
        <w:snapToGrid/>
        <w:spacing w:before="0" w:after="0" w:line="580" w:lineRule="exact"/>
        <w:ind w:left="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napToGrid w:val="0"/>
          <w:color w:val="000000"/>
          <w:kern w:val="0"/>
          <w:sz w:val="32"/>
          <w:szCs w:val="32"/>
          <w:u w:val="none"/>
        </w:rPr>
        <w:t>内蒙古自治区</w:t>
      </w:r>
      <w:r>
        <w:rPr>
          <w:rFonts w:hint="eastAsia" w:ascii="方正仿宋_GBK" w:hAnsi="方正仿宋_GBK" w:eastAsia="方正仿宋_GBK" w:cs="方正仿宋_GBK"/>
          <w:b w:val="0"/>
          <w:bCs w:val="0"/>
          <w:snapToGrid w:val="0"/>
          <w:color w:val="000000"/>
          <w:kern w:val="0"/>
          <w:sz w:val="32"/>
          <w:szCs w:val="32"/>
        </w:rPr>
        <w:t>已查明资源储量的矿产共124种，列入《内蒙古自</w:t>
      </w:r>
      <w:r>
        <w:rPr>
          <w:rFonts w:hint="eastAsia" w:ascii="方正仿宋_GBK" w:hAnsi="方正仿宋_GBK" w:eastAsia="方正仿宋_GBK" w:cs="方正仿宋_GBK"/>
          <w:b w:val="0"/>
          <w:bCs w:val="0"/>
          <w:sz w:val="32"/>
          <w:szCs w:val="32"/>
        </w:rPr>
        <w:t>治区矿产资源储量表》的矿产为119种（不包括由自然资源部统计管理的石油、天然气、铀和目前未统计汇总的地热、矿泉水），上表矿产地2150处，其中</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大中型矿产地891处。全区有45种矿产的保有资源储量居全国前三位，103种矿产的保有资源储量居全国前十位，其中</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煤炭、铅、锌、银、稀土、铌、锗、普通萤石、晶质石墨等矿产是</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的优势矿产。2020年，开采矿产121种，完成采选业总产值2462.6亿元，占自治区生产总值的14.19%。</w:t>
      </w:r>
      <w:r>
        <w:rPr>
          <w:rFonts w:hint="eastAsia" w:ascii="方正仿宋_GBK" w:hAnsi="方正仿宋_GBK" w:eastAsia="方正仿宋_GBK" w:cs="方正仿宋_GBK"/>
          <w:b w:val="0"/>
          <w:bCs w:val="0"/>
          <w:sz w:val="32"/>
          <w:szCs w:val="32"/>
          <w:lang w:eastAsia="zh-CN"/>
        </w:rPr>
        <w:t>内蒙古自治区</w:t>
      </w:r>
      <w:r>
        <w:rPr>
          <w:rFonts w:hint="eastAsia" w:ascii="方正仿宋_GBK" w:hAnsi="方正仿宋_GBK" w:eastAsia="方正仿宋_GBK" w:cs="方正仿宋_GBK"/>
          <w:b w:val="0"/>
          <w:bCs w:val="0"/>
          <w:sz w:val="32"/>
          <w:szCs w:val="32"/>
        </w:rPr>
        <w:t>煤炭、稀土等重要矿产资源储量丰富</w:t>
      </w:r>
      <w:r>
        <w:rPr>
          <w:rFonts w:hint="eastAsia" w:ascii="方正仿宋_GBK" w:hAnsi="方正仿宋_GBK" w:eastAsia="方正仿宋_GBK" w:cs="方正仿宋_GBK"/>
          <w:b w:val="0"/>
          <w:bCs w:val="0"/>
          <w:sz w:val="32"/>
          <w:szCs w:val="32"/>
          <w:lang w:eastAsia="zh-CN"/>
        </w:rPr>
        <w:t>，相关产业发展</w:t>
      </w:r>
      <w:r>
        <w:rPr>
          <w:rFonts w:hint="eastAsia" w:ascii="方正仿宋_GBK" w:hAnsi="方正仿宋_GBK" w:eastAsia="方正仿宋_GBK" w:cs="方正仿宋_GBK"/>
          <w:b w:val="0"/>
          <w:bCs w:val="0"/>
          <w:sz w:val="32"/>
          <w:szCs w:val="32"/>
        </w:rPr>
        <w:t>潜力巨大，已形成地质调查、勘查、采选、冶炼、加工和应用的完整产业链。</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u w:val="none"/>
        </w:rPr>
        <w:t>能源矿产品种齐全</w:t>
      </w:r>
      <w:r>
        <w:rPr>
          <w:rFonts w:hint="eastAsia" w:ascii="方正仿宋_GBK" w:hAnsi="方正仿宋_GBK" w:eastAsia="方正仿宋_GBK" w:cs="方正仿宋_GBK"/>
          <w:b w:val="0"/>
          <w:bCs w:val="0"/>
          <w:snapToGrid w:val="0"/>
          <w:color w:val="000000"/>
          <w:kern w:val="0"/>
          <w:sz w:val="32"/>
          <w:szCs w:val="32"/>
          <w:u w:val="none"/>
          <w:lang w:eastAsia="zh-CN"/>
        </w:rPr>
        <w:t>。石油、天然气</w:t>
      </w:r>
      <w:r>
        <w:rPr>
          <w:rFonts w:hint="eastAsia" w:ascii="方正仿宋_GBK" w:hAnsi="方正仿宋_GBK" w:eastAsia="方正仿宋_GBK" w:cs="方正仿宋_GBK"/>
          <w:b w:val="0"/>
          <w:bCs w:val="0"/>
          <w:snapToGrid w:val="0"/>
          <w:kern w:val="0"/>
          <w:sz w:val="32"/>
          <w:szCs w:val="32"/>
        </w:rPr>
        <w:t>集中分布于鄂尔多斯盆地、二连盆地（群）、开鲁盆地和海拉尔盆地（群）</w:t>
      </w:r>
      <w:r>
        <w:rPr>
          <w:rFonts w:hint="eastAsia" w:ascii="方正仿宋_GBK" w:hAnsi="方正仿宋_GBK" w:eastAsia="方正仿宋_GBK" w:cs="方正仿宋_GBK"/>
          <w:b w:val="0"/>
          <w:bCs w:val="0"/>
          <w:snapToGrid w:val="0"/>
          <w:color w:val="000000"/>
          <w:kern w:val="0"/>
          <w:sz w:val="32"/>
          <w:szCs w:val="32"/>
        </w:rPr>
        <w:t>。煤炭保有资源量5179.13亿吨，居全国第一位，占全国煤炭保有资源总量的29.02%，且大</w:t>
      </w:r>
      <w:r>
        <w:rPr>
          <w:rFonts w:hint="eastAsia" w:ascii="方正仿宋_GBK" w:hAnsi="方正仿宋_GBK" w:eastAsia="方正仿宋_GBK" w:cs="方正仿宋_GBK"/>
          <w:b w:val="0"/>
          <w:bCs w:val="0"/>
          <w:snapToGrid w:val="0"/>
          <w:color w:val="000000"/>
          <w:kern w:val="0"/>
          <w:sz w:val="32"/>
          <w:szCs w:val="32"/>
          <w:lang w:eastAsia="zh-CN"/>
        </w:rPr>
        <w:t>部分</w:t>
      </w:r>
      <w:r>
        <w:rPr>
          <w:rFonts w:hint="eastAsia" w:ascii="方正仿宋_GBK" w:hAnsi="方正仿宋_GBK" w:eastAsia="方正仿宋_GBK" w:cs="方正仿宋_GBK"/>
          <w:b w:val="0"/>
          <w:bCs w:val="0"/>
          <w:snapToGrid w:val="0"/>
          <w:color w:val="000000"/>
          <w:kern w:val="0"/>
          <w:sz w:val="32"/>
          <w:szCs w:val="32"/>
        </w:rPr>
        <w:t>具有煤田构造简单、煤层稳定、厚度大、埋藏浅、易于露天开采等特点，具</w:t>
      </w:r>
      <w:r>
        <w:rPr>
          <w:rFonts w:hint="eastAsia" w:ascii="方正仿宋_GBK" w:hAnsi="方正仿宋_GBK" w:eastAsia="方正仿宋_GBK" w:cs="方正仿宋_GBK"/>
          <w:b w:val="0"/>
          <w:bCs w:val="0"/>
          <w:snapToGrid w:val="0"/>
          <w:color w:val="000000"/>
          <w:kern w:val="0"/>
          <w:sz w:val="32"/>
          <w:szCs w:val="32"/>
          <w:lang w:eastAsia="zh-CN"/>
        </w:rPr>
        <w:t>备</w:t>
      </w:r>
      <w:r>
        <w:rPr>
          <w:rFonts w:hint="eastAsia" w:ascii="方正仿宋_GBK" w:hAnsi="方正仿宋_GBK" w:eastAsia="方正仿宋_GBK" w:cs="方正仿宋_GBK"/>
          <w:b w:val="0"/>
          <w:bCs w:val="0"/>
          <w:snapToGrid w:val="0"/>
          <w:color w:val="000000"/>
          <w:kern w:val="0"/>
          <w:sz w:val="32"/>
          <w:szCs w:val="32"/>
        </w:rPr>
        <w:t>建设特大型能源基地的资源条件，对全国能源结构和布局有重要影响。已探获的铀资源量位居全国首位，已形成我国北方重要的铀矿资源勘查开发基地。稀土资源得天独厚，保有稀土氧化物资源量居全国第一，包头被誉为“稀土之都”，稀土资源量占全国总量的83.7%。有色金属矿产资源储量丰富、分布集中，具有规模开发条件，主要分布在呼伦贝尔市西部、大兴安岭中南段和狼山地区，</w:t>
      </w:r>
      <w:r>
        <w:rPr>
          <w:rFonts w:hint="eastAsia" w:ascii="方正仿宋_GBK" w:hAnsi="方正仿宋_GBK" w:eastAsia="方正仿宋_GBK" w:cs="方正仿宋_GBK"/>
          <w:b w:val="0"/>
          <w:bCs w:val="0"/>
          <w:snapToGrid w:val="0"/>
          <w:color w:val="000000"/>
          <w:kern w:val="0"/>
          <w:sz w:val="32"/>
          <w:szCs w:val="32"/>
          <w:lang w:val="en-US" w:eastAsia="zh-CN"/>
        </w:rPr>
        <w:t>3</w:t>
      </w:r>
      <w:r>
        <w:rPr>
          <w:rFonts w:hint="eastAsia" w:ascii="方正仿宋_GBK" w:hAnsi="方正仿宋_GBK" w:eastAsia="方正仿宋_GBK" w:cs="方正仿宋_GBK"/>
          <w:b w:val="0"/>
          <w:bCs w:val="0"/>
          <w:snapToGrid w:val="0"/>
          <w:color w:val="000000"/>
          <w:kern w:val="0"/>
          <w:sz w:val="32"/>
          <w:szCs w:val="32"/>
        </w:rPr>
        <w:t>个地区有色金属量占全区总量的95%以上，是我国重要的有色金属原材料供应基地。非金属矿产分布广泛，普通萤石、晶质石墨、高岭土、盐、石膏、芒硝、天然碱等矿产优势明显。</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firstLine="0" w:firstLineChars="0"/>
        <w:jc w:val="center"/>
        <w:textAlignment w:val="auto"/>
        <w:rPr>
          <w:rFonts w:hint="eastAsia" w:ascii="方正楷体_GBK" w:hAnsi="方正楷体_GBK" w:eastAsia="方正楷体_GBK" w:cs="方正楷体_GBK"/>
          <w:b w:val="0"/>
          <w:bCs w:val="0"/>
          <w:color w:val="000000"/>
        </w:rPr>
      </w:pPr>
      <w:bookmarkStart w:id="12" w:name="_Toc71799456"/>
      <w:bookmarkStart w:id="13" w:name="_Toc69226984"/>
      <w:bookmarkStart w:id="14" w:name="_Toc60502777"/>
      <w:bookmarkStart w:id="15" w:name="_Toc90371292"/>
      <w:r>
        <w:rPr>
          <w:rFonts w:hint="eastAsia" w:ascii="方正楷体_GBK" w:hAnsi="方正楷体_GBK" w:eastAsia="方正楷体_GBK" w:cs="方正楷体_GBK"/>
          <w:b w:val="0"/>
          <w:bCs w:val="0"/>
          <w:color w:val="000000"/>
        </w:rPr>
        <w:t>第二节</w:t>
      </w:r>
      <w:bookmarkEnd w:id="12"/>
      <w:bookmarkEnd w:id="13"/>
      <w:bookmarkEnd w:id="14"/>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发展成就</w:t>
      </w:r>
      <w:bookmarkEnd w:id="15"/>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“十三五”矿产资源规划确定的</w:t>
      </w:r>
      <w:r>
        <w:rPr>
          <w:rFonts w:hint="eastAsia" w:ascii="方正仿宋_GBK" w:hAnsi="方正仿宋_GBK" w:eastAsia="方正仿宋_GBK" w:cs="方正仿宋_GBK"/>
          <w:b w:val="0"/>
          <w:bCs w:val="0"/>
          <w:snapToGrid w:val="0"/>
          <w:color w:val="000000"/>
          <w:kern w:val="0"/>
          <w:sz w:val="32"/>
          <w:szCs w:val="32"/>
          <w:lang w:eastAsia="zh-CN"/>
        </w:rPr>
        <w:t>内蒙古</w:t>
      </w:r>
      <w:r>
        <w:rPr>
          <w:rFonts w:hint="eastAsia" w:ascii="方正仿宋_GBK" w:hAnsi="方正仿宋_GBK" w:eastAsia="方正仿宋_GBK" w:cs="方正仿宋_GBK"/>
          <w:b w:val="0"/>
          <w:bCs w:val="0"/>
          <w:snapToGrid w:val="0"/>
          <w:color w:val="000000"/>
          <w:kern w:val="0"/>
          <w:sz w:val="32"/>
          <w:szCs w:val="32"/>
        </w:rPr>
        <w:t>各项目标任务基本完成，落实了自治区区域发展方向。</w:t>
      </w:r>
    </w:p>
    <w:p>
      <w:pPr>
        <w:keepNext w:val="0"/>
        <w:keepLines w:val="0"/>
        <w:pageBreakBefore w:val="0"/>
        <w:widowControl w:val="0"/>
        <w:kinsoku/>
        <w:wordWrap/>
        <w:overflowPunct/>
        <w:topLinePunct/>
        <w:autoSpaceDE/>
        <w:autoSpaceDN/>
        <w:bidi w:val="0"/>
        <w:adjustRightInd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10"/>
          <w:szCs w:val="10"/>
        </w:rPr>
      </w:pPr>
      <w:r>
        <w:rPr>
          <w:rFonts w:hint="eastAsia" w:ascii="方正仿宋_GBK" w:hAnsi="方正仿宋_GBK" w:eastAsia="方正仿宋_GBK" w:cs="方正仿宋_GBK"/>
          <w:b w:val="0"/>
          <w:bCs w:val="0"/>
          <w:snapToGrid w:val="0"/>
          <w:color w:val="000000"/>
          <w:kern w:val="0"/>
          <w:sz w:val="32"/>
          <w:szCs w:val="32"/>
        </w:rPr>
        <w:t>基础地质调查有序推进</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服务领域进一步拓展</w:t>
      </w:r>
      <w:r>
        <w:rPr>
          <w:rFonts w:hint="eastAsia" w:ascii="方正仿宋_GBK" w:hAnsi="方正仿宋_GBK" w:eastAsia="方正仿宋_GBK" w:cs="方正仿宋_GBK"/>
          <w:b w:val="0"/>
          <w:bCs w:val="0"/>
          <w:color w:val="000000"/>
          <w:sz w:val="32"/>
          <w:szCs w:val="32"/>
        </w:rPr>
        <w:t>。全区累计投入资金约11亿元，共完成1︰25万区域重力测量6.26万平方千米</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1︰25万土地质量地球化学调查1.38万平方千米</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1︰5万区域地质调查8.06万平方千米</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1︰5万区域矿产地质调查4.8万平方千米</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通过实施区域矿产地质调查项目，提高了</w:t>
      </w:r>
      <w:r>
        <w:rPr>
          <w:rFonts w:hint="eastAsia" w:ascii="方正仿宋_GBK" w:hAnsi="方正仿宋_GBK" w:eastAsia="方正仿宋_GBK" w:cs="方正仿宋_GBK"/>
          <w:b w:val="0"/>
          <w:bCs w:val="0"/>
          <w:color w:val="000000"/>
          <w:sz w:val="32"/>
          <w:szCs w:val="32"/>
          <w:lang w:eastAsia="zh-CN"/>
        </w:rPr>
        <w:t>自治区</w:t>
      </w:r>
      <w:r>
        <w:rPr>
          <w:rFonts w:hint="eastAsia" w:ascii="方正仿宋_GBK" w:hAnsi="方正仿宋_GBK" w:eastAsia="方正仿宋_GBK" w:cs="方正仿宋_GBK"/>
          <w:b w:val="0"/>
          <w:bCs w:val="0"/>
          <w:color w:val="000000"/>
          <w:sz w:val="32"/>
          <w:szCs w:val="32"/>
        </w:rPr>
        <w:t>基础地质工作程度，提供了一大批综合异常和重要矿（化）点。完成了西乌珠穆沁旗、额济纳旗等以旗县为单元的1︰10万水文地质调查36.4万平方千米，实施了通辽地区、河套灌区综合开发利用评价，</w:t>
      </w:r>
      <w:r>
        <w:rPr>
          <w:rFonts w:hint="eastAsia" w:ascii="方正仿宋_GBK" w:hAnsi="方正仿宋_GBK" w:eastAsia="方正仿宋_GBK" w:cs="方正仿宋_GBK"/>
          <w:b w:val="0"/>
          <w:bCs w:val="0"/>
          <w:color w:val="000000"/>
          <w:sz w:val="32"/>
          <w:szCs w:val="32"/>
          <w:lang w:eastAsia="zh-CN"/>
        </w:rPr>
        <w:t>为</w:t>
      </w:r>
      <w:r>
        <w:rPr>
          <w:rFonts w:hint="eastAsia" w:ascii="方正仿宋_GBK" w:hAnsi="方正仿宋_GBK" w:eastAsia="方正仿宋_GBK" w:cs="方正仿宋_GBK"/>
          <w:b w:val="0"/>
          <w:bCs w:val="0"/>
          <w:color w:val="000000"/>
          <w:sz w:val="32"/>
          <w:szCs w:val="32"/>
        </w:rPr>
        <w:t>经济社会发展和生态文明建设的新需求</w:t>
      </w:r>
      <w:r>
        <w:rPr>
          <w:rFonts w:hint="eastAsia" w:ascii="方正仿宋_GBK" w:hAnsi="方正仿宋_GBK" w:eastAsia="方正仿宋_GBK" w:cs="方正仿宋_GBK"/>
          <w:b w:val="0"/>
          <w:bCs w:val="0"/>
          <w:color w:val="000000"/>
          <w:sz w:val="32"/>
          <w:szCs w:val="32"/>
          <w:lang w:eastAsia="zh-CN"/>
        </w:rPr>
        <w:t>提供</w:t>
      </w:r>
      <w:r>
        <w:rPr>
          <w:rFonts w:hint="eastAsia" w:ascii="方正仿宋_GBK" w:hAnsi="方正仿宋_GBK" w:eastAsia="方正仿宋_GBK" w:cs="方正仿宋_GBK"/>
          <w:b w:val="0"/>
          <w:bCs w:val="0"/>
          <w:color w:val="000000"/>
          <w:sz w:val="32"/>
          <w:szCs w:val="32"/>
        </w:rPr>
        <w:t>了服务。</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color w:val="000000"/>
          <w:sz w:val="10"/>
          <w:szCs w:val="10"/>
        </w:rPr>
      </w:pPr>
      <w:r>
        <w:rPr>
          <w:rFonts w:hint="eastAsia" w:ascii="方正仿宋_GBK" w:hAnsi="方正仿宋_GBK" w:eastAsia="方正仿宋_GBK" w:cs="方正仿宋_GBK"/>
          <w:b w:val="0"/>
          <w:bCs w:val="0"/>
          <w:snapToGrid w:val="0"/>
          <w:color w:val="000000"/>
          <w:kern w:val="0"/>
          <w:sz w:val="32"/>
          <w:szCs w:val="32"/>
        </w:rPr>
        <w:t>矿产资源勘查成效显著，资源安全保障更加有力</w:t>
      </w:r>
      <w:r>
        <w:rPr>
          <w:rFonts w:hint="eastAsia" w:ascii="方正仿宋_GBK" w:hAnsi="方正仿宋_GBK" w:eastAsia="方正仿宋_GBK" w:cs="方正仿宋_GBK"/>
          <w:b w:val="0"/>
          <w:bCs w:val="0"/>
          <w:color w:val="000000"/>
          <w:sz w:val="32"/>
          <w:szCs w:val="32"/>
        </w:rPr>
        <w:t>。强化找矿突破行动，积极引导各类资金投入，累计投入矿产勘查资金42.6亿元，新增大中型矿产地117处，其中</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大型63处</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中型54处。重要矿产成果突出，新增煤炭1136.14亿吨，铜金属量145.9万吨、金金属量323.8吨、锡金属量33.3万吨、钼金属量23.1万吨，</w:t>
      </w:r>
      <w:r>
        <w:rPr>
          <w:rFonts w:hint="eastAsia" w:ascii="方正仿宋_GBK" w:hAnsi="方正仿宋_GBK" w:eastAsia="方正仿宋_GBK" w:cs="方正仿宋_GBK"/>
          <w:b w:val="0"/>
          <w:bCs w:val="0"/>
          <w:sz w:val="32"/>
          <w:szCs w:val="32"/>
        </w:rPr>
        <w:t>晶质石墨矿物量4475.2万吨，新发现那仁乌拉钨铋银多金属、维拉斯托锂多金属、查干文都日晶质石墨等大中型矿床。银、铅、锌等优势矿产取得重大突破，新发现了复兴屯、东花脑特银多金属、呼勒图锌多金属等一批大中型矿床。</w:t>
      </w:r>
      <w:r>
        <w:rPr>
          <w:rFonts w:hint="eastAsia" w:ascii="方正仿宋_GBK" w:hAnsi="方正仿宋_GBK" w:eastAsia="方正仿宋_GBK" w:cs="方正仿宋_GBK"/>
          <w:b w:val="0"/>
          <w:bCs w:val="0"/>
          <w:color w:val="000000"/>
          <w:sz w:val="32"/>
          <w:szCs w:val="32"/>
        </w:rPr>
        <w:t>地方财政投入1.7亿元，安排地热勘查项目48个，</w:t>
      </w:r>
      <w:r>
        <w:rPr>
          <w:rFonts w:hint="eastAsia" w:ascii="方正仿宋_GBK" w:hAnsi="方正仿宋_GBK" w:eastAsia="方正仿宋_GBK" w:cs="方正仿宋_GBK"/>
          <w:b w:val="0"/>
          <w:bCs w:val="0"/>
          <w:snapToGrid w:val="0"/>
          <w:color w:val="000000"/>
          <w:kern w:val="0"/>
          <w:sz w:val="32"/>
          <w:szCs w:val="32"/>
        </w:rPr>
        <w:t>实现了地热勘查重大突破，积累了丰富的勘查经验。</w:t>
      </w:r>
    </w:p>
    <w:p>
      <w:pPr>
        <w:pStyle w:val="6"/>
        <w:keepNext w:val="0"/>
        <w:keepLines w:val="0"/>
        <w:pageBreakBefore w:val="0"/>
        <w:widowControl w:val="0"/>
        <w:kinsoku/>
        <w:wordWrap/>
        <w:overflowPunct/>
        <w:topLinePunct/>
        <w:autoSpaceDE/>
        <w:autoSpaceDN/>
        <w:bidi w:val="0"/>
        <w:snapToGrid w:val="0"/>
        <w:spacing w:line="580" w:lineRule="exact"/>
        <w:ind w:left="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矿产资源开发更加合理，资源得到有效保护</w:t>
      </w:r>
      <w:r>
        <w:rPr>
          <w:rFonts w:hint="eastAsia" w:ascii="方正仿宋_GBK" w:hAnsi="方正仿宋_GBK" w:eastAsia="方正仿宋_GBK" w:cs="方正仿宋_GBK"/>
          <w:b w:val="0"/>
          <w:bCs w:val="0"/>
          <w:color w:val="000000"/>
          <w:sz w:val="32"/>
          <w:szCs w:val="32"/>
        </w:rPr>
        <w:t>。积极引导高效利用萤石资源，</w:t>
      </w:r>
      <w:r>
        <w:rPr>
          <w:rFonts w:hint="eastAsia" w:ascii="方正仿宋_GBK" w:hAnsi="方正仿宋_GBK" w:eastAsia="方正仿宋_GBK" w:cs="方正仿宋_GBK"/>
          <w:b w:val="0"/>
          <w:bCs w:val="0"/>
          <w:color w:val="000000"/>
          <w:spacing w:val="-4"/>
          <w:sz w:val="32"/>
          <w:szCs w:val="32"/>
        </w:rPr>
        <w:t>乌兰察布</w:t>
      </w:r>
      <w:r>
        <w:rPr>
          <w:rFonts w:hint="eastAsia" w:ascii="方正仿宋_GBK" w:hAnsi="方正仿宋_GBK" w:eastAsia="方正仿宋_GBK" w:cs="方正仿宋_GBK"/>
          <w:b w:val="0"/>
          <w:bCs w:val="0"/>
          <w:snapToGrid w:val="0"/>
          <w:color w:val="000000"/>
          <w:kern w:val="0"/>
          <w:sz w:val="32"/>
          <w:szCs w:val="32"/>
        </w:rPr>
        <w:t>市开展了萤石开发利用示范工程，在采选利用关键技术方面取得较大创新，提高了重要非金属资源的产品附加值。加强了对锗煤、焦煤、无烟煤的保护利用，严禁超规模生产，多管齐下</w:t>
      </w:r>
      <w:r>
        <w:rPr>
          <w:rFonts w:hint="eastAsia" w:ascii="方正仿宋_GBK" w:hAnsi="方正仿宋_GBK" w:eastAsia="方正仿宋_GBK" w:cs="方正仿宋_GBK"/>
          <w:b w:val="0"/>
          <w:bCs w:val="0"/>
          <w:snapToGrid w:val="0"/>
          <w:color w:val="000000"/>
          <w:kern w:val="0"/>
          <w:sz w:val="32"/>
          <w:szCs w:val="32"/>
          <w:lang w:eastAsia="zh-CN"/>
        </w:rPr>
        <w:t>实现</w:t>
      </w:r>
      <w:r>
        <w:rPr>
          <w:rFonts w:hint="eastAsia" w:ascii="方正仿宋_GBK" w:hAnsi="方正仿宋_GBK" w:eastAsia="方正仿宋_GBK" w:cs="方正仿宋_GBK"/>
          <w:b w:val="0"/>
          <w:bCs w:val="0"/>
          <w:snapToGrid w:val="0"/>
          <w:color w:val="000000"/>
          <w:kern w:val="0"/>
          <w:sz w:val="32"/>
          <w:szCs w:val="32"/>
        </w:rPr>
        <w:t>有效保护。煤炭实现供需总量基本平衡</w:t>
      </w:r>
      <w:bookmarkStart w:id="16" w:name="_Toc51946012"/>
      <w:r>
        <w:rPr>
          <w:rFonts w:hint="eastAsia" w:ascii="方正仿宋_GBK" w:hAnsi="方正仿宋_GBK" w:eastAsia="方正仿宋_GBK" w:cs="方正仿宋_GBK"/>
          <w:b w:val="0"/>
          <w:bCs w:val="0"/>
          <w:snapToGrid w:val="0"/>
          <w:color w:val="000000"/>
          <w:kern w:val="0"/>
          <w:sz w:val="32"/>
          <w:szCs w:val="32"/>
        </w:rPr>
        <w:t>，自然保护区内退出矿业权592个。</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矿产资源开发结构得到优化，节约集约水平不断提升</w:t>
      </w:r>
      <w:r>
        <w:rPr>
          <w:rFonts w:hint="eastAsia" w:ascii="方正仿宋_GBK" w:hAnsi="方正仿宋_GBK" w:eastAsia="方正仿宋_GBK" w:cs="方正仿宋_GBK"/>
          <w:b w:val="0"/>
          <w:bCs w:val="0"/>
          <w:color w:val="000000"/>
          <w:sz w:val="32"/>
          <w:szCs w:val="32"/>
        </w:rPr>
        <w:t>。</w:t>
      </w:r>
      <w:bookmarkEnd w:id="16"/>
      <w:r>
        <w:rPr>
          <w:rFonts w:hint="eastAsia" w:ascii="方正仿宋_GBK" w:hAnsi="方正仿宋_GBK" w:eastAsia="方正仿宋_GBK" w:cs="方正仿宋_GBK"/>
          <w:b w:val="0"/>
          <w:bCs w:val="0"/>
          <w:color w:val="000000"/>
          <w:sz w:val="32"/>
          <w:szCs w:val="32"/>
          <w:lang w:eastAsia="zh-CN"/>
        </w:rPr>
        <w:t>坚持</w:t>
      </w:r>
      <w:r>
        <w:rPr>
          <w:rFonts w:hint="eastAsia" w:ascii="方正仿宋_GBK" w:hAnsi="方正仿宋_GBK" w:eastAsia="方正仿宋_GBK" w:cs="方正仿宋_GBK"/>
          <w:b w:val="0"/>
          <w:bCs w:val="0"/>
          <w:snapToGrid w:val="0"/>
          <w:color w:val="000000"/>
          <w:kern w:val="0"/>
          <w:sz w:val="32"/>
          <w:szCs w:val="32"/>
        </w:rPr>
        <w:t>矿产资源整合与产业结构调整相结合，矿产资源规模化和节约集约利用水平显著提升。矿山数量由2015年的4776家减少到2020年底的3393家，大中型矿山数量由579家增加到955家，大中型矿山比例由12.12%提高到28.15%，较2015年提高了</w:t>
      </w:r>
      <w:r>
        <w:rPr>
          <w:rFonts w:hint="eastAsia" w:ascii="方正仿宋_GBK" w:hAnsi="方正仿宋_GBK" w:eastAsia="方正仿宋_GBK" w:cs="方正仿宋_GBK"/>
          <w:b w:val="0"/>
          <w:bCs w:val="0"/>
          <w:snapToGrid w:val="0"/>
          <w:kern w:val="0"/>
          <w:sz w:val="32"/>
          <w:szCs w:val="32"/>
        </w:rPr>
        <w:t>16.03</w:t>
      </w:r>
      <w:r>
        <w:rPr>
          <w:rFonts w:hint="eastAsia" w:ascii="方正仿宋_GBK" w:hAnsi="方正仿宋_GBK" w:eastAsia="方正仿宋_GBK" w:cs="方正仿宋_GBK"/>
          <w:b w:val="0"/>
          <w:bCs w:val="0"/>
          <w:snapToGrid w:val="0"/>
          <w:color w:val="000000"/>
          <w:kern w:val="0"/>
          <w:sz w:val="32"/>
          <w:szCs w:val="32"/>
        </w:rPr>
        <w:t>个百分点。矿山企业积极开展科技创新和技术革新，资源综合利用与节能减排水平逐年提高，“三率”（开采回采率、选矿回收率、综合利用率）指标达到国家“三率”指标最低要求。</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10"/>
          <w:szCs w:val="10"/>
        </w:rPr>
      </w:pPr>
      <w:r>
        <w:rPr>
          <w:rFonts w:hint="eastAsia" w:ascii="方正仿宋_GBK" w:hAnsi="方正仿宋_GBK" w:eastAsia="方正仿宋_GBK" w:cs="方正仿宋_GBK"/>
          <w:b w:val="0"/>
          <w:bCs w:val="0"/>
          <w:snapToGrid w:val="0"/>
          <w:color w:val="000000"/>
          <w:kern w:val="0"/>
          <w:sz w:val="32"/>
          <w:szCs w:val="32"/>
        </w:rPr>
        <w:t>矿山生态文明稳步推进，绿色发展建设成效显著</w:t>
      </w:r>
      <w:r>
        <w:rPr>
          <w:rFonts w:hint="eastAsia" w:ascii="方正仿宋_GBK" w:hAnsi="方正仿宋_GBK" w:eastAsia="方正仿宋_GBK" w:cs="方正仿宋_GBK"/>
          <w:b w:val="0"/>
          <w:bCs w:val="0"/>
          <w:color w:val="000000"/>
          <w:sz w:val="32"/>
          <w:szCs w:val="32"/>
        </w:rPr>
        <w:t>。制定了《内蒙古自治区绿色矿山建设方案》</w:t>
      </w:r>
      <w:r>
        <w:rPr>
          <w:rFonts w:hint="eastAsia" w:ascii="方正仿宋_GBK" w:hAnsi="方正仿宋_GBK" w:eastAsia="方正仿宋_GBK" w:cs="方正仿宋_GBK"/>
          <w:b w:val="0"/>
          <w:bCs w:val="0"/>
          <w:snapToGrid w:val="0"/>
          <w:color w:val="000000"/>
          <w:kern w:val="0"/>
          <w:sz w:val="32"/>
          <w:szCs w:val="32"/>
        </w:rPr>
        <w:t>等一系列制度</w:t>
      </w:r>
      <w:r>
        <w:rPr>
          <w:rFonts w:hint="eastAsia" w:ascii="方正仿宋_GBK" w:hAnsi="方正仿宋_GBK" w:eastAsia="方正仿宋_GBK" w:cs="方正仿宋_GBK"/>
          <w:b w:val="0"/>
          <w:bCs w:val="0"/>
          <w:snapToGrid w:val="0"/>
          <w:color w:val="000000"/>
          <w:kern w:val="0"/>
          <w:sz w:val="32"/>
          <w:szCs w:val="32"/>
          <w:lang w:eastAsia="zh-CN"/>
        </w:rPr>
        <w:t>措施</w:t>
      </w:r>
      <w:r>
        <w:rPr>
          <w:rFonts w:hint="eastAsia" w:ascii="方正仿宋_GBK" w:hAnsi="方正仿宋_GBK" w:eastAsia="方正仿宋_GBK" w:cs="方正仿宋_GBK"/>
          <w:b w:val="0"/>
          <w:bCs w:val="0"/>
          <w:snapToGrid w:val="0"/>
          <w:color w:val="000000"/>
          <w:kern w:val="0"/>
          <w:sz w:val="32"/>
          <w:szCs w:val="32"/>
        </w:rPr>
        <w:t>，绿色矿山建设得到了矿山企业的积极响应。自治区已有381家矿山纳入绿色矿山名录，其中</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67家矿山纳入全国绿色矿山名录。</w:t>
      </w:r>
      <w:r>
        <w:rPr>
          <w:rFonts w:hint="eastAsia" w:ascii="方正仿宋_GBK" w:hAnsi="方正仿宋_GBK" w:eastAsia="方正仿宋_GBK" w:cs="方正仿宋_GBK"/>
          <w:b w:val="0"/>
          <w:bCs w:val="0"/>
          <w:snapToGrid w:val="0"/>
          <w:color w:val="000000"/>
          <w:kern w:val="0"/>
          <w:sz w:val="32"/>
          <w:szCs w:val="32"/>
          <w:lang w:val="en-US" w:eastAsia="zh-CN"/>
        </w:rPr>
        <w:t>3</w:t>
      </w:r>
      <w:r>
        <w:rPr>
          <w:rFonts w:hint="eastAsia" w:ascii="方正仿宋_GBK" w:hAnsi="方正仿宋_GBK" w:eastAsia="方正仿宋_GBK" w:cs="方正仿宋_GBK"/>
          <w:b w:val="0"/>
          <w:bCs w:val="0"/>
          <w:snapToGrid w:val="0"/>
          <w:color w:val="000000"/>
          <w:kern w:val="0"/>
          <w:sz w:val="32"/>
          <w:szCs w:val="32"/>
        </w:rPr>
        <w:t>个绿色矿业发展示范区内</w:t>
      </w:r>
      <w:r>
        <w:rPr>
          <w:rFonts w:hint="eastAsia" w:ascii="方正仿宋_GBK" w:hAnsi="方正仿宋_GBK" w:eastAsia="方正仿宋_GBK" w:cs="方正仿宋_GBK"/>
          <w:b w:val="0"/>
          <w:bCs w:val="0"/>
          <w:snapToGrid w:val="0"/>
          <w:color w:val="000000"/>
          <w:kern w:val="0"/>
          <w:sz w:val="32"/>
          <w:szCs w:val="32"/>
          <w:lang w:eastAsia="zh-CN"/>
        </w:rPr>
        <w:t>的</w:t>
      </w:r>
      <w:r>
        <w:rPr>
          <w:rFonts w:hint="eastAsia" w:ascii="方正仿宋_GBK" w:hAnsi="方正仿宋_GBK" w:eastAsia="方正仿宋_GBK" w:cs="方正仿宋_GBK"/>
          <w:b w:val="0"/>
          <w:bCs w:val="0"/>
          <w:snapToGrid w:val="0"/>
          <w:color w:val="000000"/>
          <w:kern w:val="0"/>
          <w:sz w:val="32"/>
          <w:szCs w:val="32"/>
        </w:rPr>
        <w:t>141家矿山已有55家纳入了绿色矿山名录，其中</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赤峰北成功列入全国绿色矿业发展示范区名单。全区投入4.3亿元，启动实施了21个绿色勘查示范项目，并印发实施了自治区绿色勘查技术要求。</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矿山地质环境治理力度加大，地质环境治理成效明显</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eastAsia="方正仿宋_GBK" w:cs="方正仿宋_GBK"/>
          <w:b w:val="0"/>
          <w:bCs w:val="0"/>
          <w:snapToGrid w:val="0"/>
          <w:color w:val="000000"/>
          <w:kern w:val="0"/>
          <w:sz w:val="32"/>
          <w:szCs w:val="32"/>
        </w:rPr>
        <w:t>实行矿山地质环境分期治理验收制度，生产矿山累计投入治理资金约97.83亿元，累计治理面积约711.8平方千米，通过实施分期验收制度，强化了生产矿山地质环境治理，加快了“还旧账”进程。各级财政投入20.39亿元，完成历史遗留矿山地质环境治理面积215.5平方千米，矿山生态环境和人居环境得到明显改善，实现了开发与治理并重，取得了良好的经济效益、社会效益、环境效益。矿山地质环境治理保证金制度向基金制度的转变，进一步推动</w:t>
      </w:r>
      <w:r>
        <w:rPr>
          <w:rFonts w:hint="eastAsia" w:ascii="方正仿宋_GBK" w:hAnsi="方正仿宋_GBK" w:eastAsia="方正仿宋_GBK" w:cs="方正仿宋_GBK"/>
          <w:b w:val="0"/>
          <w:bCs w:val="0"/>
          <w:snapToGrid w:val="0"/>
          <w:color w:val="000000"/>
          <w:kern w:val="0"/>
          <w:sz w:val="32"/>
          <w:szCs w:val="32"/>
          <w:lang w:eastAsia="zh-CN"/>
        </w:rPr>
        <w:t>自治区</w:t>
      </w:r>
      <w:r>
        <w:rPr>
          <w:rFonts w:hint="eastAsia" w:ascii="方正仿宋_GBK" w:hAnsi="方正仿宋_GBK" w:eastAsia="方正仿宋_GBK" w:cs="方正仿宋_GBK"/>
          <w:b w:val="0"/>
          <w:bCs w:val="0"/>
          <w:snapToGrid w:val="0"/>
          <w:color w:val="000000"/>
          <w:kern w:val="0"/>
          <w:sz w:val="32"/>
          <w:szCs w:val="32"/>
        </w:rPr>
        <w:t>矿山地质环境治理进入了新局面。</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矿产资源管理改革不断深化，市场配置资源能力</w:t>
      </w:r>
      <w:r>
        <w:rPr>
          <w:rFonts w:hint="eastAsia" w:ascii="方正仿宋_GBK" w:hAnsi="方正仿宋_GBK" w:eastAsia="方正仿宋_GBK" w:cs="方正仿宋_GBK"/>
          <w:b w:val="0"/>
          <w:bCs w:val="0"/>
          <w:snapToGrid w:val="0"/>
          <w:color w:val="000000"/>
          <w:kern w:val="0"/>
          <w:sz w:val="32"/>
          <w:szCs w:val="32"/>
          <w:lang w:eastAsia="zh-CN"/>
        </w:rPr>
        <w:t>显著提升。</w:t>
      </w:r>
      <w:r>
        <w:rPr>
          <w:rFonts w:hint="eastAsia" w:ascii="方正仿宋_GBK" w:hAnsi="方正仿宋_GBK" w:eastAsia="方正仿宋_GBK" w:cs="方正仿宋_GBK"/>
          <w:b w:val="0"/>
          <w:bCs w:val="0"/>
          <w:color w:val="000000"/>
          <w:sz w:val="32"/>
          <w:szCs w:val="32"/>
        </w:rPr>
        <w:t>自治区开展矿产资源领域专项整治工作和煤炭资源领域违规违法问题专项整治工作，全面梳理矿产资源</w:t>
      </w:r>
      <w:r>
        <w:rPr>
          <w:rFonts w:hint="eastAsia" w:ascii="方正仿宋_GBK" w:hAnsi="方正仿宋_GBK" w:eastAsia="方正仿宋_GBK" w:cs="方正仿宋_GBK"/>
          <w:b w:val="0"/>
          <w:bCs w:val="0"/>
          <w:color w:val="000000"/>
          <w:sz w:val="32"/>
          <w:szCs w:val="32"/>
          <w:lang w:eastAsia="zh-CN"/>
        </w:rPr>
        <w:t>管理相关</w:t>
      </w:r>
      <w:r>
        <w:rPr>
          <w:rFonts w:hint="eastAsia" w:ascii="方正仿宋_GBK" w:hAnsi="方正仿宋_GBK" w:eastAsia="方正仿宋_GBK" w:cs="方正仿宋_GBK"/>
          <w:b w:val="0"/>
          <w:bCs w:val="0"/>
          <w:color w:val="000000"/>
          <w:sz w:val="32"/>
          <w:szCs w:val="32"/>
        </w:rPr>
        <w:t>法规</w:t>
      </w:r>
      <w:r>
        <w:rPr>
          <w:rFonts w:hint="eastAsia" w:ascii="方正仿宋_GBK" w:hAnsi="方正仿宋_GBK" w:eastAsia="方正仿宋_GBK" w:cs="方正仿宋_GBK"/>
          <w:b w:val="0"/>
          <w:bCs w:val="0"/>
          <w:color w:val="000000"/>
          <w:sz w:val="32"/>
          <w:szCs w:val="32"/>
          <w:lang w:eastAsia="zh-CN"/>
        </w:rPr>
        <w:t>和</w:t>
      </w:r>
      <w:r>
        <w:rPr>
          <w:rFonts w:hint="eastAsia" w:ascii="方正仿宋_GBK" w:hAnsi="方正仿宋_GBK" w:eastAsia="方正仿宋_GBK" w:cs="方正仿宋_GBK"/>
          <w:b w:val="0"/>
          <w:bCs w:val="0"/>
          <w:color w:val="000000"/>
          <w:sz w:val="32"/>
          <w:szCs w:val="32"/>
        </w:rPr>
        <w:t>政策文件。全面推行“双随机、一公开”，加强矿产资源勘查开发管理。推动简政放权和职能转变，实行普通建筑用砂石土矿业权审批下放。</w:t>
      </w:r>
      <w:bookmarkStart w:id="17" w:name="_Toc60502778"/>
      <w:r>
        <w:rPr>
          <w:rFonts w:hint="eastAsia" w:ascii="方正仿宋_GBK" w:hAnsi="方正仿宋_GBK" w:eastAsia="方正仿宋_GBK" w:cs="方正仿宋_GBK"/>
          <w:b w:val="0"/>
          <w:bCs w:val="0"/>
          <w:color w:val="000000"/>
          <w:sz w:val="32"/>
          <w:szCs w:val="32"/>
        </w:rPr>
        <w:t>加强勘查开采公示信息抽查，逐步由重事前审批转向重事中事后监管，由重微观管理转向加强和改善宏观管理，基本构建起符合自治区实际的自然资源管理新机制。</w:t>
      </w:r>
      <w:bookmarkStart w:id="18" w:name="_Toc69226985"/>
      <w:bookmarkStart w:id="19" w:name="_Toc71799457"/>
      <w:bookmarkStart w:id="20" w:name="_Toc90371293"/>
    </w:p>
    <w:p>
      <w:pPr>
        <w:keepNext w:val="0"/>
        <w:keepLines w:val="0"/>
        <w:pageBreakBefore w:val="0"/>
        <w:widowControl w:val="0"/>
        <w:kinsoku/>
        <w:wordWrap/>
        <w:overflowPunct/>
        <w:topLinePunct/>
        <w:autoSpaceDE/>
        <w:autoSpaceDN/>
        <w:bidi w:val="0"/>
        <w:adjustRightInd/>
        <w:snapToGrid w:val="0"/>
        <w:spacing w:before="313" w:beforeLines="100" w:after="313" w:afterLines="100" w:line="580" w:lineRule="exact"/>
        <w:jc w:val="center"/>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第三节</w:t>
      </w:r>
      <w:bookmarkEnd w:id="17"/>
      <w:bookmarkEnd w:id="18"/>
      <w:bookmarkEnd w:id="19"/>
      <w:r>
        <w:rPr>
          <w:rFonts w:hint="eastAsia" w:ascii="方正楷体_GBK" w:hAnsi="方正楷体_GBK" w:eastAsia="方正楷体_GBK" w:cs="方正楷体_GBK"/>
          <w:b w:val="0"/>
          <w:bCs w:val="0"/>
          <w:color w:val="000000"/>
          <w:sz w:val="32"/>
          <w:szCs w:val="32"/>
          <w:lang w:val="en-US" w:eastAsia="zh-CN"/>
        </w:rPr>
        <w:t xml:space="preserve">  </w:t>
      </w:r>
      <w:r>
        <w:rPr>
          <w:rFonts w:hint="eastAsia" w:ascii="方正楷体_GBK" w:hAnsi="方正楷体_GBK" w:eastAsia="方正楷体_GBK" w:cs="方正楷体_GBK"/>
          <w:b w:val="0"/>
          <w:bCs w:val="0"/>
          <w:color w:val="000000"/>
          <w:sz w:val="32"/>
          <w:szCs w:val="32"/>
        </w:rPr>
        <w:t>面临形势</w:t>
      </w:r>
      <w:bookmarkEnd w:id="20"/>
    </w:p>
    <w:p>
      <w:pPr>
        <w:keepNext w:val="0"/>
        <w:keepLines w:val="0"/>
        <w:pageBreakBefore w:val="0"/>
        <w:widowControl w:val="0"/>
        <w:kinsoku/>
        <w:wordWrap/>
        <w:overflowPunct/>
        <w:topLinePunct/>
        <w:autoSpaceDE/>
        <w:autoSpaceDN/>
        <w:bidi w:val="0"/>
        <w:adjustRightInd w:val="0"/>
        <w:snapToGrid w:val="0"/>
        <w:spacing w:line="580" w:lineRule="exact"/>
        <w:ind w:left="0" w:firstLine="640"/>
        <w:jc w:val="both"/>
        <w:textAlignment w:val="auto"/>
        <w:rPr>
          <w:rFonts w:hint="eastAsia" w:ascii="方正仿宋_GBK" w:hAnsi="方正仿宋_GBK" w:eastAsia="方正仿宋_GBK" w:cs="方正仿宋_GBK"/>
          <w:b w:val="0"/>
          <w:bCs w:val="0"/>
          <w:color w:val="000000"/>
          <w:sz w:val="32"/>
          <w:szCs w:val="32"/>
        </w:rPr>
      </w:pPr>
      <w:bookmarkStart w:id="21" w:name="_Toc60502779"/>
      <w:bookmarkStart w:id="22" w:name="_Toc69226986"/>
      <w:bookmarkStart w:id="23" w:name="_Toc71799458"/>
      <w:r>
        <w:rPr>
          <w:rFonts w:hint="eastAsia" w:ascii="方正仿宋_GBK" w:hAnsi="方正仿宋_GBK" w:eastAsia="方正仿宋_GBK" w:cs="方正仿宋_GBK"/>
          <w:b w:val="0"/>
          <w:bCs w:val="0"/>
          <w:snapToGrid w:val="0"/>
          <w:color w:val="000000"/>
          <w:kern w:val="0"/>
          <w:sz w:val="32"/>
          <w:szCs w:val="32"/>
        </w:rPr>
        <w:t>生态文明建设深入推进要求守好生态底线</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eastAsia="方正仿宋_GBK" w:cs="方正仿宋_GBK"/>
          <w:b w:val="0"/>
          <w:bCs w:val="0"/>
          <w:sz w:val="32"/>
          <w:szCs w:val="32"/>
        </w:rPr>
        <w:t>随着生态文明建设的不断深化，更加突出生态的重要性，内蒙古作为我国北方重要生态安全屏障，</w:t>
      </w:r>
      <w:r>
        <w:rPr>
          <w:rFonts w:hint="eastAsia" w:ascii="方正仿宋_GBK" w:hAnsi="方正仿宋_GBK" w:eastAsia="方正仿宋_GBK" w:cs="方正仿宋_GBK"/>
          <w:b w:val="0"/>
          <w:bCs w:val="0"/>
          <w:color w:val="000000"/>
          <w:sz w:val="32"/>
          <w:szCs w:val="32"/>
        </w:rPr>
        <w:t>生态状况不仅关系全区各族群众生存发展，也关系东北、华北、西北乃至全国的生态安全。习近平总书记在考察内蒙古时强调，任何地方的发展，都要综合考虑资源环境承载能力，决不能以牺牲环境为代价去换取一时的经济增长。“十四五”时期是全区走好以生态优先、绿色发展为导向高质量发展新路子的关键时期，必须妥善处理好矿产资源勘查开发和生态环境保护的关系，始终坚持生态优先、绿色发展。</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color w:val="000000"/>
          <w:kern w:val="0"/>
          <w:sz w:val="32"/>
          <w:szCs w:val="21"/>
        </w:rPr>
      </w:pPr>
      <w:r>
        <w:rPr>
          <w:rFonts w:hint="eastAsia" w:ascii="方正仿宋_GBK" w:hAnsi="方正仿宋_GBK" w:eastAsia="方正仿宋_GBK" w:cs="方正仿宋_GBK"/>
          <w:b w:val="0"/>
          <w:bCs w:val="0"/>
          <w:snapToGrid w:val="0"/>
          <w:color w:val="000000"/>
          <w:kern w:val="0"/>
          <w:sz w:val="32"/>
          <w:szCs w:val="32"/>
        </w:rPr>
        <w:t>经济高质量发展需要进一步加</w:t>
      </w:r>
      <w:r>
        <w:rPr>
          <w:rFonts w:hint="eastAsia" w:ascii="方正仿宋_GBK" w:hAnsi="方正仿宋_GBK" w:eastAsia="方正仿宋_GBK" w:cs="方正仿宋_GBK"/>
          <w:b w:val="0"/>
          <w:bCs w:val="0"/>
          <w:snapToGrid w:val="0"/>
          <w:color w:val="000000"/>
          <w:kern w:val="0"/>
          <w:sz w:val="32"/>
          <w:szCs w:val="32"/>
          <w:lang w:eastAsia="zh-CN"/>
        </w:rPr>
        <w:t>大</w:t>
      </w:r>
      <w:r>
        <w:rPr>
          <w:rFonts w:hint="eastAsia" w:ascii="方正仿宋_GBK" w:hAnsi="方正仿宋_GBK" w:eastAsia="方正仿宋_GBK" w:cs="方正仿宋_GBK"/>
          <w:b w:val="0"/>
          <w:bCs w:val="0"/>
          <w:snapToGrid w:val="0"/>
          <w:color w:val="000000"/>
          <w:kern w:val="0"/>
          <w:sz w:val="32"/>
          <w:szCs w:val="32"/>
        </w:rPr>
        <w:t>资源保障力度</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eastAsia="方正仿宋_GBK" w:cs="方正仿宋_GBK"/>
          <w:b w:val="0"/>
          <w:bCs w:val="0"/>
          <w:sz w:val="32"/>
          <w:szCs w:val="32"/>
        </w:rPr>
        <w:t>矿业开发为我国经济社会发展提供着95%的能源、80%的原材料、70%以上的农业生产资料。</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是重要的能源资源基地</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要提高地质调查和勘查经费投入，有针对性地加大油气、稀土</w:t>
      </w:r>
      <w:r>
        <w:rPr>
          <w:rFonts w:hint="eastAsia" w:ascii="方正仿宋_GBK" w:hAnsi="方正仿宋_GBK" w:eastAsia="方正仿宋_GBK" w:cs="方正仿宋_GBK"/>
          <w:b w:val="0"/>
          <w:bCs w:val="0"/>
          <w:color w:val="000000"/>
          <w:sz w:val="32"/>
          <w:szCs w:val="32"/>
        </w:rPr>
        <w:t>、稀有、稀散矿产的调查评价和勘查力度，兼顾铁、铜、</w:t>
      </w:r>
      <w:r>
        <w:rPr>
          <w:rFonts w:hint="eastAsia" w:ascii="方正仿宋_GBK" w:hAnsi="方正仿宋_GBK" w:eastAsia="方正仿宋_GBK" w:cs="方正仿宋_GBK"/>
          <w:b w:val="0"/>
          <w:bCs w:val="0"/>
          <w:color w:val="000000"/>
          <w:kern w:val="0"/>
          <w:sz w:val="32"/>
          <w:szCs w:val="21"/>
        </w:rPr>
        <w:t>镍等大宗紧缺矿产勘查，努力形成一批能源资源接续区，保障能源资源供应。</w:t>
      </w:r>
    </w:p>
    <w:p>
      <w:pPr>
        <w:keepNext w:val="0"/>
        <w:keepLines w:val="0"/>
        <w:pageBreakBefore w:val="0"/>
        <w:widowControl w:val="0"/>
        <w:kinsoku/>
        <w:wordWrap/>
        <w:overflowPunct/>
        <w:topLinePunct/>
        <w:autoSpaceDE/>
        <w:autoSpaceDN/>
        <w:bidi w:val="0"/>
        <w:adjustRightInd w:val="0"/>
        <w:snapToGrid w:val="0"/>
        <w:spacing w:line="570" w:lineRule="exact"/>
        <w:ind w:left="0" w:firstLine="641"/>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矿业绿色发展要求资源高效利用</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eastAsia="方正仿宋_GBK" w:cs="方正仿宋_GBK"/>
          <w:b w:val="0"/>
          <w:bCs w:val="0"/>
          <w:color w:val="000000"/>
          <w:kern w:val="0"/>
          <w:sz w:val="32"/>
          <w:szCs w:val="21"/>
        </w:rPr>
        <w:t>当前，新一轮科技革命和产业变革蓬勃兴起，矿产资源利用方式正在发生深刻变化，以煤炭、钢铁、水泥为代表的传统大宗矿产需求即将进入峰值，以铝、铜、铅、镍为代表的大宗矿产需求仍将保持高位，以锂、钴、稀土、地热、煤层气、页岩气等为代表的新材料、新能源矿产需求快速增长。</w:t>
      </w:r>
      <w:r>
        <w:rPr>
          <w:rFonts w:hint="eastAsia" w:ascii="方正仿宋_GBK" w:hAnsi="方正仿宋_GBK" w:eastAsia="方正仿宋_GBK" w:cs="方正仿宋_GBK"/>
          <w:b w:val="0"/>
          <w:bCs w:val="0"/>
          <w:snapToGrid w:val="0"/>
          <w:kern w:val="0"/>
          <w:sz w:val="32"/>
          <w:szCs w:val="32"/>
        </w:rPr>
        <w:t>碳达峰、碳中和目标对矿产资源开发利用提出了新要求，</w:t>
      </w:r>
      <w:r>
        <w:rPr>
          <w:rFonts w:hint="eastAsia" w:ascii="方正仿宋_GBK" w:hAnsi="方正仿宋_GBK" w:eastAsia="方正仿宋_GBK" w:cs="方正仿宋_GBK"/>
          <w:b w:val="0"/>
          <w:bCs w:val="0"/>
          <w:color w:val="000000"/>
          <w:kern w:val="0"/>
          <w:sz w:val="32"/>
          <w:szCs w:val="21"/>
        </w:rPr>
        <w:t>必须</w:t>
      </w:r>
      <w:r>
        <w:rPr>
          <w:rFonts w:hint="eastAsia" w:ascii="方正仿宋_GBK" w:hAnsi="方正仿宋_GBK" w:eastAsia="方正仿宋_GBK" w:cs="方正仿宋_GBK"/>
          <w:b w:val="0"/>
          <w:bCs w:val="0"/>
          <w:color w:val="000000"/>
          <w:kern w:val="0"/>
          <w:sz w:val="32"/>
          <w:szCs w:val="32"/>
        </w:rPr>
        <w:t>积极建立以大中型矿山企业为主体的矿业发展新格局，</w:t>
      </w:r>
      <w:r>
        <w:rPr>
          <w:rFonts w:hint="eastAsia" w:ascii="方正仿宋_GBK" w:hAnsi="方正仿宋_GBK" w:eastAsia="方正仿宋_GBK" w:cs="方正仿宋_GBK"/>
          <w:b w:val="0"/>
          <w:bCs w:val="0"/>
          <w:snapToGrid w:val="0"/>
          <w:kern w:val="0"/>
          <w:sz w:val="32"/>
          <w:szCs w:val="32"/>
        </w:rPr>
        <w:t>进一步优化矿业布局，集约节约高效利用资源</w:t>
      </w:r>
      <w:r>
        <w:rPr>
          <w:rFonts w:hint="eastAsia" w:ascii="方正仿宋_GBK" w:hAnsi="方正仿宋_GBK" w:eastAsia="方正仿宋_GBK" w:cs="方正仿宋_GBK"/>
          <w:b w:val="0"/>
          <w:bCs w:val="0"/>
          <w:color w:val="000000"/>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left="0" w:firstLine="641"/>
        <w:jc w:val="both"/>
        <w:textAlignment w:val="auto"/>
        <w:rPr>
          <w:rFonts w:hint="eastAsia" w:ascii="方正黑体_GBK" w:hAnsi="方正黑体_GBK" w:eastAsia="方正黑体_GBK" w:cs="方正黑体_GBK"/>
          <w:b w:val="0"/>
          <w:bCs w:val="0"/>
          <w:color w:val="000000"/>
          <w:sz w:val="36"/>
          <w:szCs w:val="36"/>
        </w:rPr>
      </w:pPr>
      <w:r>
        <w:rPr>
          <w:rFonts w:hint="eastAsia" w:ascii="方正仿宋_GBK" w:hAnsi="方正仿宋_GBK" w:eastAsia="方正仿宋_GBK" w:cs="方正仿宋_GBK"/>
          <w:b w:val="0"/>
          <w:bCs w:val="0"/>
          <w:snapToGrid w:val="0"/>
          <w:color w:val="000000"/>
          <w:kern w:val="0"/>
          <w:sz w:val="32"/>
          <w:szCs w:val="32"/>
        </w:rPr>
        <w:t>深化“放管服”改革要求加快推进矿产资源管理改革。随着“放管服”管理改革的深化以及自然资源“两统一”职能职责的落实，迫切需要加快推进矿产资源管理改革，不断优化矿业领域营商环境。调整矿业权出让权限，全面实现同一矿种矿业权出让登记同级管理；压缩矿业权审批时间，精简申请材料，优化申报程序；简化归并评审备案和登记事项，压缩办理环节和要件，缩减矿产资源储量政府直接评审备案范围；推动建立部门间联审机制，形成“要我办”到“我要办”工作机制的转变，依托自治区蒙速办移动政务服务平台，争取实现“一网办、掌上办、一次办、帮您办”的高效服务。</w:t>
      </w:r>
      <w:bookmarkStart w:id="24" w:name="_Toc90371294"/>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jc w:val="center"/>
        <w:textAlignment w:val="auto"/>
        <w:rPr>
          <w:rFonts w:hint="eastAsia" w:ascii="方正楷体_GBK" w:hAnsi="方正楷体_GBK" w:eastAsia="方正楷体_GBK" w:cs="方正楷体_GBK"/>
          <w:b w:val="0"/>
          <w:bCs w:val="0"/>
          <w:color w:val="000000"/>
          <w:sz w:val="32"/>
          <w:szCs w:val="32"/>
        </w:rPr>
      </w:pPr>
      <w:r>
        <w:rPr>
          <w:rFonts w:hint="eastAsia" w:ascii="方正黑体_GBK" w:hAnsi="方正黑体_GBK" w:eastAsia="方正黑体_GBK" w:cs="方正黑体_GBK"/>
          <w:b w:val="0"/>
          <w:bCs w:val="0"/>
          <w:color w:val="000000"/>
          <w:sz w:val="32"/>
          <w:szCs w:val="32"/>
        </w:rPr>
        <w:t>第二章</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rPr>
        <w:t>指导思想与基本原则</w:t>
      </w:r>
      <w:bookmarkEnd w:id="21"/>
      <w:bookmarkEnd w:id="22"/>
      <w:bookmarkEnd w:id="23"/>
      <w:bookmarkEnd w:id="24"/>
      <w:bookmarkStart w:id="25" w:name="_Toc69226987"/>
      <w:bookmarkStart w:id="26" w:name="_Toc90371295"/>
      <w:bookmarkStart w:id="27" w:name="_Toc71799459"/>
      <w:bookmarkStart w:id="28" w:name="_Toc60502780"/>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580" w:lineRule="exact"/>
        <w:ind w:left="0" w:firstLine="3200" w:firstLineChars="1000"/>
        <w:jc w:val="both"/>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第一节</w:t>
      </w:r>
      <w:r>
        <w:rPr>
          <w:rFonts w:hint="eastAsia" w:ascii="方正楷体_GBK" w:hAnsi="方正楷体_GBK" w:eastAsia="方正楷体_GBK" w:cs="方正楷体_GBK"/>
          <w:b w:val="0"/>
          <w:bCs w:val="0"/>
          <w:color w:val="000000"/>
          <w:sz w:val="32"/>
          <w:szCs w:val="32"/>
          <w:lang w:val="en-US" w:eastAsia="zh-CN"/>
        </w:rPr>
        <w:t xml:space="preserve">  </w:t>
      </w:r>
      <w:r>
        <w:rPr>
          <w:rFonts w:hint="eastAsia" w:ascii="方正楷体_GBK" w:hAnsi="方正楷体_GBK" w:eastAsia="方正楷体_GBK" w:cs="方正楷体_GBK"/>
          <w:b w:val="0"/>
          <w:bCs w:val="0"/>
          <w:color w:val="000000"/>
          <w:sz w:val="32"/>
          <w:szCs w:val="32"/>
        </w:rPr>
        <w:t>指导思想</w:t>
      </w:r>
      <w:bookmarkEnd w:id="25"/>
      <w:bookmarkEnd w:id="26"/>
      <w:bookmarkEnd w:id="27"/>
      <w:bookmarkEnd w:id="28"/>
    </w:p>
    <w:p>
      <w:pPr>
        <w:keepNext w:val="0"/>
        <w:keepLines w:val="0"/>
        <w:pageBreakBefore w:val="0"/>
        <w:widowControl w:val="0"/>
        <w:kinsoku/>
        <w:wordWrap/>
        <w:overflowPunct/>
        <w:topLinePunct/>
        <w:autoSpaceDE/>
        <w:autoSpaceDN/>
        <w:bidi w:val="0"/>
        <w:adjustRightInd/>
        <w:snapToGrid w:val="0"/>
        <w:spacing w:line="570" w:lineRule="exact"/>
        <w:ind w:left="0" w:firstLine="641"/>
        <w:jc w:val="both"/>
        <w:textAlignment w:val="auto"/>
        <w:rPr>
          <w:rFonts w:hint="eastAsia" w:ascii="方正仿宋_GBK" w:hAnsi="方正仿宋_GBK" w:eastAsia="方正仿宋_GBK" w:cs="方正仿宋_GBK"/>
          <w:b w:val="0"/>
          <w:bCs w:val="0"/>
          <w:snapToGrid w:val="0"/>
          <w:color w:val="000000"/>
          <w:kern w:val="0"/>
          <w:sz w:val="32"/>
          <w:szCs w:val="32"/>
        </w:rPr>
      </w:pPr>
      <w:bookmarkStart w:id="29" w:name="_Toc60502781"/>
      <w:r>
        <w:rPr>
          <w:rFonts w:hint="eastAsia" w:ascii="方正仿宋_GBK" w:hAnsi="方正仿宋_GBK" w:eastAsia="方正仿宋_GBK" w:cs="方正仿宋_GBK"/>
          <w:b w:val="0"/>
          <w:bCs w:val="0"/>
          <w:snapToGrid w:val="0"/>
          <w:kern w:val="0"/>
          <w:sz w:val="32"/>
          <w:szCs w:val="32"/>
        </w:rPr>
        <w:t>以习近平新时代中国特色社会主义思想为指导，全面贯彻党的十九大和十九届</w:t>
      </w:r>
      <w:r>
        <w:rPr>
          <w:rFonts w:hint="eastAsia" w:ascii="方正仿宋_GBK" w:hAnsi="方正仿宋_GBK" w:eastAsia="方正仿宋_GBK" w:cs="方正仿宋_GBK"/>
          <w:b w:val="0"/>
          <w:bCs w:val="0"/>
          <w:snapToGrid w:val="0"/>
          <w:kern w:val="0"/>
          <w:sz w:val="32"/>
          <w:szCs w:val="32"/>
          <w:lang w:eastAsia="zh-CN"/>
        </w:rPr>
        <w:t>历次</w:t>
      </w:r>
      <w:r>
        <w:rPr>
          <w:rFonts w:hint="eastAsia" w:ascii="方正仿宋_GBK" w:hAnsi="方正仿宋_GBK" w:eastAsia="方正仿宋_GBK" w:cs="方正仿宋_GBK"/>
          <w:b w:val="0"/>
          <w:bCs w:val="0"/>
          <w:snapToGrid w:val="0"/>
          <w:kern w:val="0"/>
          <w:sz w:val="32"/>
          <w:szCs w:val="32"/>
        </w:rPr>
        <w:t>全会精神，</w:t>
      </w:r>
      <w:r>
        <w:rPr>
          <w:rFonts w:hint="eastAsia" w:ascii="方正仿宋_GBK" w:hAnsi="方正仿宋_GBK" w:eastAsia="方正仿宋_GBK" w:cs="方正仿宋_GBK"/>
          <w:b w:val="0"/>
          <w:bCs w:val="0"/>
          <w:snapToGrid w:val="0"/>
          <w:color w:val="000000"/>
          <w:kern w:val="0"/>
          <w:sz w:val="32"/>
          <w:szCs w:val="32"/>
        </w:rPr>
        <w:t>全面落实习近平总书记对内蒙古重要讲话重要指示批示精神</w:t>
      </w:r>
      <w:r>
        <w:rPr>
          <w:rFonts w:hint="eastAsia" w:ascii="方正仿宋_GBK" w:hAnsi="方正仿宋_GBK" w:eastAsia="方正仿宋_GBK" w:cs="方正仿宋_GBK"/>
          <w:b w:val="0"/>
          <w:bCs w:val="0"/>
          <w:snapToGrid w:val="0"/>
          <w:kern w:val="0"/>
          <w:sz w:val="32"/>
          <w:szCs w:val="32"/>
        </w:rPr>
        <w:t>，适应新发展阶段</w:t>
      </w:r>
      <w:r>
        <w:rPr>
          <w:rFonts w:hint="eastAsia" w:ascii="方正仿宋_GBK" w:hAnsi="方正仿宋_GBK" w:eastAsia="方正仿宋_GBK" w:cs="方正仿宋_GBK"/>
          <w:b w:val="0"/>
          <w:bCs w:val="0"/>
          <w:snapToGrid w:val="0"/>
          <w:kern w:val="0"/>
          <w:sz w:val="32"/>
          <w:szCs w:val="32"/>
          <w:lang w:eastAsia="zh-CN"/>
        </w:rPr>
        <w:t>，完整、准确、全面</w:t>
      </w:r>
      <w:r>
        <w:rPr>
          <w:rFonts w:hint="eastAsia" w:ascii="方正仿宋_GBK" w:hAnsi="方正仿宋_GBK" w:eastAsia="方正仿宋_GBK" w:cs="方正仿宋_GBK"/>
          <w:b w:val="0"/>
          <w:bCs w:val="0"/>
          <w:snapToGrid w:val="0"/>
          <w:kern w:val="0"/>
          <w:sz w:val="32"/>
          <w:szCs w:val="32"/>
        </w:rPr>
        <w:t>贯彻新发展理念</w:t>
      </w:r>
      <w:r>
        <w:rPr>
          <w:rFonts w:hint="eastAsia" w:ascii="方正仿宋_GBK" w:hAnsi="方正仿宋_GBK" w:eastAsia="方正仿宋_GBK" w:cs="方正仿宋_GBK"/>
          <w:b w:val="0"/>
          <w:bCs w:val="0"/>
          <w:snapToGrid w:val="0"/>
          <w:kern w:val="0"/>
          <w:sz w:val="32"/>
          <w:szCs w:val="32"/>
          <w:lang w:eastAsia="zh-CN"/>
        </w:rPr>
        <w:t>，</w:t>
      </w:r>
      <w:r>
        <w:rPr>
          <w:rFonts w:hint="eastAsia" w:ascii="方正仿宋_GBK" w:hAnsi="方正仿宋_GBK" w:eastAsia="方正仿宋_GBK" w:cs="方正仿宋_GBK"/>
          <w:b w:val="0"/>
          <w:bCs w:val="0"/>
          <w:snapToGrid w:val="0"/>
          <w:kern w:val="0"/>
          <w:sz w:val="32"/>
          <w:szCs w:val="32"/>
        </w:rPr>
        <w:t>服务</w:t>
      </w:r>
      <w:r>
        <w:rPr>
          <w:rFonts w:hint="eastAsia" w:ascii="方正仿宋_GBK" w:hAnsi="方正仿宋_GBK" w:eastAsia="方正仿宋_GBK" w:cs="方正仿宋_GBK"/>
          <w:b w:val="0"/>
          <w:bCs w:val="0"/>
          <w:snapToGrid w:val="0"/>
          <w:kern w:val="0"/>
          <w:sz w:val="32"/>
          <w:szCs w:val="32"/>
          <w:lang w:eastAsia="zh-CN"/>
        </w:rPr>
        <w:t>和</w:t>
      </w:r>
      <w:r>
        <w:rPr>
          <w:rFonts w:hint="eastAsia" w:ascii="方正仿宋_GBK" w:hAnsi="方正仿宋_GBK" w:eastAsia="方正仿宋_GBK" w:cs="方正仿宋_GBK"/>
          <w:b w:val="0"/>
          <w:bCs w:val="0"/>
          <w:snapToGrid w:val="0"/>
          <w:kern w:val="0"/>
          <w:sz w:val="32"/>
          <w:szCs w:val="32"/>
        </w:rPr>
        <w:t>融入新发展格局，</w:t>
      </w:r>
      <w:r>
        <w:rPr>
          <w:rFonts w:hint="eastAsia" w:ascii="方正仿宋_GBK" w:hAnsi="方正仿宋_GBK" w:eastAsia="方正仿宋_GBK" w:cs="方正仿宋_GBK"/>
          <w:b w:val="0"/>
          <w:bCs w:val="0"/>
          <w:snapToGrid w:val="0"/>
          <w:kern w:val="0"/>
          <w:sz w:val="32"/>
          <w:szCs w:val="32"/>
          <w:lang w:eastAsia="zh-CN"/>
        </w:rPr>
        <w:t>紧紧围绕内蒙古</w:t>
      </w:r>
      <w:r>
        <w:rPr>
          <w:rFonts w:hint="eastAsia" w:ascii="方正仿宋_GBK" w:hAnsi="方正仿宋_GBK" w:eastAsia="方正仿宋_GBK" w:cs="方正仿宋_GBK"/>
          <w:b w:val="0"/>
          <w:bCs w:val="0"/>
          <w:snapToGrid w:val="0"/>
          <w:kern w:val="0"/>
          <w:sz w:val="32"/>
          <w:szCs w:val="32"/>
        </w:rPr>
        <w:t>“两个屏障”“两个基地”“一个桥头堡”的</w:t>
      </w:r>
      <w:r>
        <w:rPr>
          <w:rFonts w:hint="eastAsia" w:ascii="方正仿宋_GBK" w:hAnsi="方正仿宋_GBK" w:eastAsia="方正仿宋_GBK" w:cs="方正仿宋_GBK"/>
          <w:b w:val="0"/>
          <w:bCs w:val="0"/>
          <w:snapToGrid w:val="0"/>
          <w:kern w:val="0"/>
          <w:sz w:val="32"/>
          <w:szCs w:val="32"/>
          <w:lang w:eastAsia="zh-CN"/>
        </w:rPr>
        <w:t>战略</w:t>
      </w:r>
      <w:r>
        <w:rPr>
          <w:rFonts w:hint="eastAsia" w:ascii="方正仿宋_GBK" w:hAnsi="方正仿宋_GBK" w:eastAsia="方正仿宋_GBK" w:cs="方正仿宋_GBK"/>
          <w:b w:val="0"/>
          <w:bCs w:val="0"/>
          <w:snapToGrid w:val="0"/>
          <w:kern w:val="0"/>
          <w:sz w:val="32"/>
          <w:szCs w:val="32"/>
        </w:rPr>
        <w:t>定位，加强基础性地质调查与重要矿产勘查,保障能源资源安全，落实国土空间管控、能耗双控要求，</w:t>
      </w:r>
      <w:r>
        <w:rPr>
          <w:rFonts w:hint="eastAsia" w:ascii="方正仿宋_GBK" w:hAnsi="方正仿宋_GBK" w:eastAsia="方正仿宋_GBK" w:cs="方正仿宋_GBK"/>
          <w:b w:val="0"/>
          <w:bCs w:val="0"/>
          <w:snapToGrid w:val="0"/>
          <w:color w:val="000000"/>
          <w:kern w:val="0"/>
          <w:sz w:val="32"/>
          <w:szCs w:val="32"/>
        </w:rPr>
        <w:t>实施分区管控、总量调控、源头把控，</w:t>
      </w:r>
      <w:r>
        <w:rPr>
          <w:rFonts w:hint="eastAsia" w:ascii="方正仿宋_GBK" w:hAnsi="方正仿宋_GBK" w:eastAsia="方正仿宋_GBK" w:cs="方正仿宋_GBK"/>
          <w:b w:val="0"/>
          <w:bCs w:val="0"/>
          <w:snapToGrid w:val="0"/>
          <w:kern w:val="0"/>
          <w:sz w:val="32"/>
          <w:szCs w:val="32"/>
        </w:rPr>
        <w:t>以保护优先、集约集聚开发为主线，</w:t>
      </w:r>
      <w:r>
        <w:rPr>
          <w:rFonts w:hint="eastAsia" w:ascii="方正仿宋_GBK" w:hAnsi="方正仿宋_GBK" w:eastAsia="方正仿宋_GBK" w:cs="方正仿宋_GBK"/>
          <w:b w:val="0"/>
          <w:bCs w:val="0"/>
          <w:snapToGrid w:val="0"/>
          <w:color w:val="000000"/>
          <w:kern w:val="0"/>
          <w:sz w:val="32"/>
          <w:szCs w:val="32"/>
        </w:rPr>
        <w:t>提高资源利用效率，</w:t>
      </w:r>
      <w:r>
        <w:rPr>
          <w:rFonts w:hint="eastAsia" w:ascii="方正仿宋_GBK" w:hAnsi="方正仿宋_GBK" w:eastAsia="方正仿宋_GBK" w:cs="方正仿宋_GBK"/>
          <w:b w:val="0"/>
          <w:bCs w:val="0"/>
          <w:snapToGrid w:val="0"/>
          <w:kern w:val="0"/>
          <w:sz w:val="32"/>
          <w:szCs w:val="32"/>
        </w:rPr>
        <w:t>强化矿山地质环境治理，全面推进绿色矿山建设，推动矿产资源领域治理体系和治理能力现代化，走</w:t>
      </w:r>
      <w:r>
        <w:rPr>
          <w:rFonts w:hint="eastAsia" w:ascii="方正仿宋_GBK" w:hAnsi="方正仿宋_GBK" w:eastAsia="方正仿宋_GBK" w:cs="方正仿宋_GBK"/>
          <w:b w:val="0"/>
          <w:bCs w:val="0"/>
          <w:snapToGrid w:val="0"/>
          <w:kern w:val="0"/>
          <w:sz w:val="32"/>
          <w:szCs w:val="32"/>
          <w:lang w:eastAsia="zh-CN"/>
        </w:rPr>
        <w:t>好</w:t>
      </w:r>
      <w:r>
        <w:rPr>
          <w:rFonts w:hint="eastAsia" w:ascii="方正仿宋_GBK" w:hAnsi="方正仿宋_GBK" w:eastAsia="方正仿宋_GBK" w:cs="方正仿宋_GBK"/>
          <w:b w:val="0"/>
          <w:bCs w:val="0"/>
          <w:snapToGrid w:val="0"/>
          <w:kern w:val="0"/>
          <w:sz w:val="32"/>
          <w:szCs w:val="32"/>
        </w:rPr>
        <w:t>以生态优先、绿色发展为导向的高质量发展新路子。</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firstLine="0" w:firstLineChars="0"/>
        <w:jc w:val="center"/>
        <w:textAlignment w:val="auto"/>
        <w:rPr>
          <w:rFonts w:hint="eastAsia" w:ascii="方正楷体_GBK" w:hAnsi="方正楷体_GBK" w:eastAsia="方正楷体_GBK" w:cs="方正楷体_GBK"/>
          <w:b w:val="0"/>
          <w:bCs w:val="0"/>
          <w:color w:val="auto"/>
        </w:rPr>
      </w:pPr>
      <w:bookmarkStart w:id="30" w:name="_Toc90371296"/>
      <w:bookmarkStart w:id="31" w:name="_Toc69226988"/>
      <w:bookmarkStart w:id="32" w:name="_Toc71799460"/>
      <w:r>
        <w:rPr>
          <w:rFonts w:hint="eastAsia" w:ascii="方正楷体_GBK" w:hAnsi="方正楷体_GBK" w:eastAsia="方正楷体_GBK" w:cs="方正楷体_GBK"/>
          <w:b w:val="0"/>
          <w:bCs w:val="0"/>
          <w:color w:val="auto"/>
        </w:rPr>
        <w:t>第二节</w:t>
      </w:r>
      <w:r>
        <w:rPr>
          <w:rFonts w:hint="eastAsia" w:ascii="方正楷体_GBK" w:hAnsi="方正楷体_GBK" w:eastAsia="方正楷体_GBK" w:cs="方正楷体_GBK"/>
          <w:b w:val="0"/>
          <w:bCs w:val="0"/>
          <w:color w:val="auto"/>
          <w:lang w:val="en-US" w:eastAsia="zh-CN"/>
        </w:rPr>
        <w:t xml:space="preserve">  </w:t>
      </w:r>
      <w:r>
        <w:rPr>
          <w:rFonts w:hint="eastAsia" w:ascii="方正楷体_GBK" w:hAnsi="方正楷体_GBK" w:eastAsia="方正楷体_GBK" w:cs="方正楷体_GBK"/>
          <w:b w:val="0"/>
          <w:bCs w:val="0"/>
          <w:color w:val="auto"/>
        </w:rPr>
        <w:t>基本原则</w:t>
      </w:r>
      <w:bookmarkEnd w:id="29"/>
      <w:bookmarkEnd w:id="30"/>
      <w:bookmarkEnd w:id="31"/>
      <w:bookmarkEnd w:id="32"/>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坚持需求导向</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保障有力。强化基础地质工作，加强重要矿产勘查，推进北山地区地质专项，勘查重点平面上由东向西转移，垂向上由地表勘查逐步向深部探测转移，促进</w:t>
      </w:r>
      <w:r>
        <w:rPr>
          <w:rFonts w:hint="eastAsia" w:ascii="方正仿宋_GBK" w:hAnsi="方正仿宋_GBK" w:eastAsia="方正仿宋_GBK" w:cs="方正仿宋_GBK"/>
          <w:b w:val="0"/>
          <w:bCs w:val="0"/>
          <w:snapToGrid w:val="0"/>
          <w:color w:val="000000"/>
          <w:kern w:val="0"/>
          <w:sz w:val="32"/>
          <w:szCs w:val="32"/>
          <w:lang w:eastAsia="zh-CN"/>
        </w:rPr>
        <w:t>自治区</w:t>
      </w:r>
      <w:r>
        <w:rPr>
          <w:rFonts w:hint="eastAsia" w:ascii="方正仿宋_GBK" w:hAnsi="方正仿宋_GBK" w:eastAsia="方正仿宋_GBK" w:cs="方正仿宋_GBK"/>
          <w:b w:val="0"/>
          <w:bCs w:val="0"/>
          <w:snapToGrid w:val="0"/>
          <w:color w:val="000000"/>
          <w:kern w:val="0"/>
          <w:sz w:val="32"/>
          <w:szCs w:val="32"/>
        </w:rPr>
        <w:t>矿产资源勘查开发布局优化升级，保障重要矿产供给。</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坚持生态优先</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绿色发展。落实“生态保护红线、环境质量底线、资源利用上线”硬约束，强化水资源刚性硬约束，提高准入门槛，将各类勘查开发活动限制在资源环境承载能力之内，推进矿产资源绿色高质量发展。</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坚持保护优先</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高效利用。</w:t>
      </w:r>
      <w:r>
        <w:rPr>
          <w:rFonts w:hint="eastAsia" w:ascii="方正仿宋_GBK" w:hAnsi="方正仿宋_GBK" w:eastAsia="方正仿宋_GBK" w:cs="方正仿宋_GBK"/>
          <w:b w:val="0"/>
          <w:bCs w:val="0"/>
          <w:snapToGrid w:val="0"/>
          <w:color w:val="000000"/>
          <w:sz w:val="32"/>
          <w:szCs w:val="32"/>
        </w:rPr>
        <w:t>强化</w:t>
      </w:r>
      <w:r>
        <w:rPr>
          <w:rFonts w:hint="eastAsia" w:ascii="方正仿宋_GBK" w:hAnsi="方正仿宋_GBK" w:eastAsia="方正仿宋_GBK" w:cs="方正仿宋_GBK"/>
          <w:b w:val="0"/>
          <w:bCs w:val="0"/>
          <w:snapToGrid w:val="0"/>
          <w:color w:val="000000"/>
          <w:kern w:val="0"/>
          <w:sz w:val="32"/>
          <w:szCs w:val="32"/>
        </w:rPr>
        <w:t>资源保护，持</w:t>
      </w:r>
      <w:r>
        <w:rPr>
          <w:rFonts w:hint="eastAsia" w:ascii="方正仿宋_GBK" w:hAnsi="方正仿宋_GBK" w:eastAsia="方正仿宋_GBK" w:cs="方正仿宋_GBK"/>
          <w:b w:val="0"/>
          <w:bCs w:val="0"/>
          <w:snapToGrid w:val="0"/>
          <w:color w:val="000000"/>
          <w:sz w:val="32"/>
          <w:szCs w:val="32"/>
        </w:rPr>
        <w:t>续开展开发利用总量调控，</w:t>
      </w:r>
      <w:r>
        <w:rPr>
          <w:rFonts w:hint="eastAsia" w:ascii="方正仿宋_GBK" w:hAnsi="方正仿宋_GBK" w:eastAsia="方正仿宋_GBK" w:cs="方正仿宋_GBK"/>
          <w:b w:val="0"/>
          <w:bCs w:val="0"/>
          <w:snapToGrid w:val="0"/>
          <w:color w:val="000000"/>
          <w:kern w:val="0"/>
          <w:sz w:val="32"/>
          <w:szCs w:val="32"/>
        </w:rPr>
        <w:t>构建以能源资源基地、国家规划矿区为主体的矿产资源集约集聚、规模化开发格局，提升矿产资源综合利用水平。</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坚持全面治理</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协调发展。</w:t>
      </w:r>
      <w:r>
        <w:rPr>
          <w:rFonts w:hint="eastAsia" w:ascii="方正仿宋_GBK" w:hAnsi="方正仿宋_GBK" w:eastAsia="方正仿宋_GBK" w:cs="方正仿宋_GBK"/>
          <w:b w:val="0"/>
          <w:bCs w:val="0"/>
          <w:snapToGrid w:val="0"/>
          <w:color w:val="000000"/>
          <w:sz w:val="32"/>
          <w:szCs w:val="32"/>
        </w:rPr>
        <w:t>坚决遏制矿山环境问题增量，加快消减矿山环境问题存量，</w:t>
      </w:r>
      <w:r>
        <w:rPr>
          <w:rFonts w:hint="eastAsia" w:ascii="方正仿宋_GBK" w:hAnsi="方正仿宋_GBK" w:eastAsia="方正仿宋_GBK" w:cs="方正仿宋_GBK"/>
          <w:b w:val="0"/>
          <w:bCs w:val="0"/>
          <w:snapToGrid w:val="0"/>
          <w:color w:val="000000"/>
          <w:kern w:val="0"/>
          <w:sz w:val="32"/>
          <w:szCs w:val="32"/>
        </w:rPr>
        <w:t>推进黄河流域矿山地质环境治理，全面推进绿色矿山建设，促进矿产资源勘查开发与生态环境保护相协调。</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坚持改革创新</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规范发展。</w:t>
      </w:r>
      <w:bookmarkStart w:id="33" w:name="_Toc60502782"/>
      <w:r>
        <w:rPr>
          <w:rFonts w:hint="eastAsia" w:ascii="方正仿宋_GBK" w:hAnsi="方正仿宋_GBK" w:eastAsia="方正仿宋_GBK" w:cs="方正仿宋_GBK"/>
          <w:b w:val="0"/>
          <w:bCs w:val="0"/>
          <w:snapToGrid w:val="0"/>
          <w:color w:val="000000"/>
          <w:kern w:val="0"/>
          <w:sz w:val="32"/>
          <w:szCs w:val="32"/>
        </w:rPr>
        <w:t>发挥市场在资源配置中的决定性作用</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eastAsia="方正仿宋_GBK" w:cs="方正仿宋_GBK"/>
          <w:b w:val="0"/>
          <w:bCs w:val="0"/>
          <w:snapToGrid w:val="0"/>
          <w:color w:val="000000"/>
          <w:kern w:val="0"/>
          <w:sz w:val="32"/>
          <w:szCs w:val="32"/>
        </w:rPr>
        <w:t>进一步深化矿产资源管理改革，</w:t>
      </w:r>
      <w:r>
        <w:rPr>
          <w:rFonts w:hint="eastAsia" w:ascii="方正仿宋_GBK" w:hAnsi="方正仿宋_GBK" w:eastAsia="方正仿宋_GBK" w:cs="方正仿宋_GBK"/>
          <w:b w:val="0"/>
          <w:bCs w:val="0"/>
          <w:snapToGrid w:val="0"/>
          <w:color w:val="000000"/>
          <w:sz w:val="32"/>
          <w:szCs w:val="32"/>
        </w:rPr>
        <w:t>加强矿种差别化和区域差别化管理，落实自然资源工作新的职责定位。</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firstLine="0" w:firstLineChars="0"/>
        <w:jc w:val="center"/>
        <w:textAlignment w:val="auto"/>
        <w:rPr>
          <w:rFonts w:hint="eastAsia" w:ascii="方正楷体_GBK" w:hAnsi="方正楷体_GBK" w:eastAsia="方正楷体_GBK" w:cs="方正楷体_GBK"/>
          <w:b w:val="0"/>
          <w:bCs w:val="0"/>
          <w:color w:val="000000"/>
        </w:rPr>
      </w:pPr>
      <w:bookmarkStart w:id="34" w:name="_Toc90371297"/>
      <w:bookmarkStart w:id="35" w:name="_Toc71799461"/>
      <w:bookmarkStart w:id="36" w:name="_Toc69226989"/>
      <w:r>
        <w:rPr>
          <w:rFonts w:hint="eastAsia" w:ascii="方正楷体_GBK" w:hAnsi="方正楷体_GBK" w:eastAsia="方正楷体_GBK" w:cs="方正楷体_GBK"/>
          <w:b w:val="0"/>
          <w:bCs w:val="0"/>
          <w:color w:val="000000"/>
        </w:rPr>
        <w:t>第三节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规划目标</w:t>
      </w:r>
      <w:bookmarkEnd w:id="33"/>
      <w:bookmarkEnd w:id="34"/>
      <w:bookmarkEnd w:id="35"/>
      <w:bookmarkEnd w:id="36"/>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outlineLvl w:val="2"/>
        <w:rPr>
          <w:rFonts w:hint="eastAsia" w:ascii="方正仿宋_GBK" w:hAnsi="方正仿宋_GBK" w:eastAsia="方正仿宋_GBK" w:cs="方正仿宋_GBK"/>
          <w:b w:val="0"/>
          <w:bCs w:val="0"/>
          <w:color w:val="auto"/>
          <w:sz w:val="32"/>
          <w:szCs w:val="32"/>
        </w:rPr>
      </w:pPr>
      <w:bookmarkStart w:id="37" w:name="_Toc71813421"/>
      <w:bookmarkStart w:id="38" w:name="_Toc71799636"/>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2025年目标</w:t>
      </w:r>
      <w:bookmarkEnd w:id="37"/>
      <w:bookmarkEnd w:id="38"/>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pacing w:val="-6"/>
          <w:sz w:val="32"/>
          <w:szCs w:val="32"/>
        </w:rPr>
        <w:t>到2025年，煤炭、稀土、铜、金等重要矿产的供应保障体系更趋完善，勘查开发区域布局更趋合理，</w:t>
      </w:r>
      <w:r>
        <w:rPr>
          <w:rFonts w:hint="eastAsia" w:ascii="方正仿宋_GBK" w:hAnsi="方正仿宋_GBK" w:eastAsia="方正仿宋_GBK" w:cs="方正仿宋_GBK"/>
          <w:b w:val="0"/>
          <w:bCs w:val="0"/>
          <w:color w:val="auto"/>
          <w:spacing w:val="-6"/>
          <w:sz w:val="32"/>
          <w:szCs w:val="32"/>
        </w:rPr>
        <w:t>矿产资源勘查开发与环境保护</w:t>
      </w:r>
      <w:r>
        <w:rPr>
          <w:rFonts w:hint="eastAsia" w:ascii="方正仿宋_GBK" w:hAnsi="方正仿宋_GBK" w:eastAsia="方正仿宋_GBK" w:cs="方正仿宋_GBK"/>
          <w:b w:val="0"/>
          <w:bCs w:val="0"/>
          <w:color w:val="auto"/>
          <w:spacing w:val="-6"/>
          <w:sz w:val="32"/>
          <w:szCs w:val="32"/>
          <w:lang w:eastAsia="zh-CN"/>
        </w:rPr>
        <w:t>更加</w:t>
      </w:r>
      <w:r>
        <w:rPr>
          <w:rFonts w:hint="eastAsia" w:ascii="方正仿宋_GBK" w:hAnsi="方正仿宋_GBK" w:eastAsia="方正仿宋_GBK" w:cs="方正仿宋_GBK"/>
          <w:b w:val="0"/>
          <w:bCs w:val="0"/>
          <w:color w:val="auto"/>
          <w:spacing w:val="-6"/>
          <w:sz w:val="32"/>
          <w:szCs w:val="32"/>
        </w:rPr>
        <w:t>协调</w:t>
      </w:r>
      <w:r>
        <w:rPr>
          <w:rFonts w:hint="eastAsia" w:ascii="方正仿宋_GBK" w:hAnsi="方正仿宋_GBK" w:eastAsia="方正仿宋_GBK" w:cs="方正仿宋_GBK"/>
          <w:b w:val="0"/>
          <w:bCs w:val="0"/>
          <w:color w:val="auto"/>
          <w:spacing w:val="-6"/>
          <w:sz w:val="32"/>
          <w:szCs w:val="32"/>
          <w:lang w:eastAsia="zh-CN"/>
        </w:rPr>
        <w:t>，</w:t>
      </w:r>
      <w:r>
        <w:rPr>
          <w:rFonts w:hint="eastAsia" w:ascii="方正仿宋_GBK" w:hAnsi="方正仿宋_GBK" w:eastAsia="方正仿宋_GBK" w:cs="方正仿宋_GBK"/>
          <w:b w:val="0"/>
          <w:bCs w:val="0"/>
          <w:color w:val="auto"/>
          <w:spacing w:val="-6"/>
          <w:sz w:val="32"/>
          <w:szCs w:val="32"/>
        </w:rPr>
        <w:t>基本形成绿色勘查</w:t>
      </w:r>
      <w:r>
        <w:rPr>
          <w:rFonts w:hint="eastAsia" w:ascii="方正仿宋_GBK" w:hAnsi="方正仿宋_GBK" w:eastAsia="方正仿宋_GBK" w:cs="方正仿宋_GBK"/>
          <w:b w:val="0"/>
          <w:bCs w:val="0"/>
          <w:color w:val="auto"/>
          <w:spacing w:val="-6"/>
          <w:sz w:val="32"/>
          <w:szCs w:val="32"/>
          <w:u w:val="none"/>
        </w:rPr>
        <w:t>开发新格局</w:t>
      </w:r>
      <w:r>
        <w:rPr>
          <w:rFonts w:hint="eastAsia" w:ascii="方正仿宋_GBK" w:hAnsi="方正仿宋_GBK" w:eastAsia="方正仿宋_GBK" w:cs="方正仿宋_GBK"/>
          <w:b w:val="0"/>
          <w:bCs w:val="0"/>
          <w:color w:val="auto"/>
          <w:spacing w:val="-6"/>
          <w:sz w:val="32"/>
          <w:szCs w:val="32"/>
        </w:rPr>
        <w:t>。</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资源保障更加有力</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eastAsia="方正仿宋_GBK" w:cs="方正仿宋_GBK"/>
          <w:b w:val="0"/>
          <w:bCs w:val="0"/>
          <w:color w:val="000000"/>
          <w:sz w:val="32"/>
        </w:rPr>
        <w:t>进一步夯实基础地质调查，解决一批制约资源和环境的关键问题，积极拓展服务领域。</w:t>
      </w:r>
      <w:r>
        <w:rPr>
          <w:rFonts w:hint="eastAsia" w:ascii="方正仿宋_GBK" w:hAnsi="方正仿宋_GBK" w:eastAsia="方正仿宋_GBK" w:cs="方正仿宋_GBK"/>
          <w:b w:val="0"/>
          <w:bCs w:val="0"/>
          <w:color w:val="000000"/>
          <w:sz w:val="32"/>
          <w:lang w:eastAsia="zh-CN"/>
        </w:rPr>
        <w:t>加强</w:t>
      </w:r>
      <w:r>
        <w:rPr>
          <w:rFonts w:hint="eastAsia" w:ascii="方正仿宋_GBK" w:hAnsi="方正仿宋_GBK" w:eastAsia="方正仿宋_GBK" w:cs="方正仿宋_GBK"/>
          <w:b w:val="0"/>
          <w:bCs w:val="0"/>
          <w:color w:val="000000"/>
          <w:sz w:val="32"/>
          <w:szCs w:val="32"/>
        </w:rPr>
        <w:t>非常规能源调查评价和勘查，加大重要矿产勘查力度，实现找矿新突破，新发现大中型矿产地10</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15处，重要矿产资源储量</w:t>
      </w:r>
      <w:r>
        <w:rPr>
          <w:rFonts w:hint="eastAsia" w:ascii="方正仿宋_GBK" w:hAnsi="方正仿宋_GBK" w:eastAsia="方正仿宋_GBK" w:cs="方正仿宋_GBK"/>
          <w:b w:val="0"/>
          <w:bCs w:val="0"/>
          <w:color w:val="000000"/>
          <w:sz w:val="32"/>
          <w:szCs w:val="32"/>
          <w:lang w:eastAsia="zh-CN"/>
        </w:rPr>
        <w:t>稳步</w:t>
      </w:r>
      <w:r>
        <w:rPr>
          <w:rFonts w:hint="eastAsia" w:ascii="方正仿宋_GBK" w:hAnsi="方正仿宋_GBK" w:eastAsia="方正仿宋_GBK" w:cs="方正仿宋_GBK"/>
          <w:b w:val="0"/>
          <w:bCs w:val="0"/>
          <w:color w:val="000000"/>
          <w:sz w:val="32"/>
          <w:szCs w:val="32"/>
        </w:rPr>
        <w:t>增长。</w:t>
      </w: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color w:val="000000"/>
          <w:sz w:val="32"/>
          <w:szCs w:val="32"/>
        </w:rPr>
      </w:pPr>
    </w:p>
    <w:p>
      <w:pPr>
        <w:keepNext w:val="0"/>
        <w:keepLines w:val="0"/>
        <w:pageBreakBefore w:val="0"/>
        <w:widowControl w:val="0"/>
        <w:kinsoku/>
        <w:wordWrap/>
        <w:overflowPunct/>
        <w:topLinePunct/>
        <w:autoSpaceDE/>
        <w:autoSpaceDN/>
        <w:bidi w:val="0"/>
        <w:snapToGrid w:val="0"/>
        <w:spacing w:line="580" w:lineRule="exact"/>
        <w:ind w:left="0" w:firstLine="640"/>
        <w:jc w:val="both"/>
        <w:textAlignment w:val="auto"/>
        <w:rPr>
          <w:rFonts w:hint="eastAsia" w:ascii="方正仿宋_GBK" w:hAnsi="方正仿宋_GBK" w:eastAsia="方正仿宋_GBK" w:cs="方正仿宋_GBK"/>
          <w:b w:val="0"/>
          <w:bCs w:val="0"/>
          <w:color w:val="000000"/>
          <w:sz w:val="32"/>
          <w:szCs w:val="32"/>
        </w:rPr>
      </w:pPr>
    </w:p>
    <w:p>
      <w:pPr>
        <w:keepNext w:val="0"/>
        <w:keepLines w:val="0"/>
        <w:pageBreakBefore w:val="0"/>
        <w:widowControl w:val="0"/>
        <w:kinsoku/>
        <w:wordWrap/>
        <w:overflowPunct/>
        <w:topLinePunct/>
        <w:autoSpaceDE/>
        <w:autoSpaceDN/>
        <w:bidi w:val="0"/>
        <w:snapToGrid w:val="0"/>
        <w:spacing w:line="580" w:lineRule="exact"/>
        <w:jc w:val="center"/>
        <w:textAlignment w:val="auto"/>
        <w:rPr>
          <w:rFonts w:hint="eastAsia" w:ascii="方正仿宋_GBK" w:hAnsi="方正仿宋_GBK" w:eastAsia="方正仿宋_GBK" w:cs="方正仿宋_GBK"/>
          <w:b w:val="0"/>
          <w:bCs w:val="0"/>
          <w:color w:val="000000"/>
          <w:sz w:val="32"/>
          <w:szCs w:val="32"/>
        </w:rPr>
      </w:pPr>
      <w:r>
        <w:rPr>
          <w:rFonts w:hint="eastAsia" w:ascii="方正黑体_GBK" w:hAnsi="方正黑体_GBK" w:eastAsia="方正黑体_GBK" w:cs="方正黑体_GBK"/>
          <w:b w:val="0"/>
          <w:bCs w:val="0"/>
          <w:color w:val="000000"/>
          <w:sz w:val="32"/>
          <w:szCs w:val="32"/>
          <w:shd w:val="clear" w:color="auto" w:fill="auto"/>
        </w:rPr>
        <w:t xml:space="preserve">专栏1  </w:t>
      </w:r>
      <w:r>
        <w:rPr>
          <w:rFonts w:hint="eastAsia" w:ascii="方正黑体_GBK" w:hAnsi="方正黑体_GBK" w:eastAsia="方正黑体_GBK" w:cs="方正黑体_GBK"/>
          <w:b w:val="0"/>
          <w:bCs w:val="0"/>
          <w:sz w:val="32"/>
          <w:szCs w:val="32"/>
          <w:shd w:val="clear" w:color="auto" w:fill="auto"/>
        </w:rPr>
        <w:t>基础地质</w:t>
      </w:r>
      <w:r>
        <w:rPr>
          <w:rFonts w:hint="eastAsia" w:ascii="方正黑体_GBK" w:hAnsi="方正黑体_GBK" w:eastAsia="方正黑体_GBK" w:cs="方正黑体_GBK"/>
          <w:b w:val="0"/>
          <w:bCs w:val="0"/>
          <w:sz w:val="32"/>
          <w:szCs w:val="32"/>
          <w:shd w:val="clear" w:color="auto" w:fill="auto"/>
          <w:lang w:eastAsia="zh-CN"/>
        </w:rPr>
        <w:t>调查</w:t>
      </w:r>
      <w:r>
        <w:rPr>
          <w:rFonts w:hint="eastAsia" w:ascii="方正黑体_GBK" w:hAnsi="方正黑体_GBK" w:eastAsia="方正黑体_GBK" w:cs="方正黑体_GBK"/>
          <w:b w:val="0"/>
          <w:bCs w:val="0"/>
          <w:sz w:val="32"/>
          <w:szCs w:val="32"/>
          <w:shd w:val="clear" w:color="auto" w:fill="auto"/>
        </w:rPr>
        <w:t>及矿产资源勘查主要指标</w:t>
      </w:r>
    </w:p>
    <w:p>
      <w:pPr>
        <w:keepNext w:val="0"/>
        <w:keepLines w:val="0"/>
        <w:pageBreakBefore w:val="0"/>
        <w:widowControl w:val="0"/>
        <w:kinsoku/>
        <w:wordWrap/>
        <w:overflowPunct/>
        <w:topLinePunct w:val="0"/>
        <w:autoSpaceDE/>
        <w:autoSpaceDN/>
        <w:bidi w:val="0"/>
        <w:adjustRightInd/>
        <w:snapToGrid w:val="0"/>
        <w:spacing w:line="160" w:lineRule="atLeast"/>
        <w:textAlignment w:val="auto"/>
        <w:rPr>
          <w:rFonts w:hint="eastAsia" w:ascii="方正仿宋_GBK" w:hAnsi="方正仿宋_GBK" w:eastAsia="方正仿宋_GBK" w:cs="方正仿宋_GBK"/>
          <w:b w:val="0"/>
          <w:bCs w:val="0"/>
          <w:color w:val="000000"/>
          <w:sz w:val="10"/>
          <w:szCs w:val="10"/>
        </w:rPr>
      </w:pPr>
    </w:p>
    <w:tbl>
      <w:tblPr>
        <w:tblStyle w:val="1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867"/>
        <w:gridCol w:w="811"/>
        <w:gridCol w:w="2779"/>
        <w:gridCol w:w="1660"/>
        <w:gridCol w:w="1784"/>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Ex>
        <w:trPr>
          <w:trHeight w:val="445" w:hRule="atLeast"/>
          <w:tblHeader/>
          <w:jc w:val="center"/>
        </w:trPr>
        <w:tc>
          <w:tcPr>
            <w:tcW w:w="867" w:type="dxa"/>
            <w:shd w:val="clear" w:color="auto" w:fill="auto"/>
            <w:noWrap w:val="0"/>
            <w:vAlign w:val="center"/>
          </w:tcPr>
          <w:p>
            <w:pPr>
              <w:snapToGrid w:val="0"/>
              <w:spacing w:line="0" w:lineRule="atLeast"/>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类别</w:t>
            </w:r>
          </w:p>
        </w:tc>
        <w:tc>
          <w:tcPr>
            <w:tcW w:w="3590" w:type="dxa"/>
            <w:gridSpan w:val="2"/>
            <w:shd w:val="clear" w:color="auto" w:fill="auto"/>
            <w:noWrap w:val="0"/>
            <w:vAlign w:val="center"/>
          </w:tcPr>
          <w:p>
            <w:pPr>
              <w:snapToGrid w:val="0"/>
              <w:spacing w:line="0" w:lineRule="atLeast"/>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指</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标</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名</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称</w:t>
            </w:r>
          </w:p>
        </w:tc>
        <w:tc>
          <w:tcPr>
            <w:tcW w:w="1660" w:type="dxa"/>
            <w:shd w:val="clear" w:color="auto" w:fill="auto"/>
            <w:noWrap w:val="0"/>
            <w:vAlign w:val="center"/>
          </w:tcPr>
          <w:p>
            <w:pPr>
              <w:snapToGrid w:val="0"/>
              <w:spacing w:line="0" w:lineRule="atLeast"/>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单</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位</w:t>
            </w:r>
          </w:p>
        </w:tc>
        <w:tc>
          <w:tcPr>
            <w:tcW w:w="1784" w:type="dxa"/>
            <w:shd w:val="clear" w:color="auto" w:fill="auto"/>
            <w:noWrap w:val="0"/>
            <w:vAlign w:val="center"/>
          </w:tcPr>
          <w:p>
            <w:pPr>
              <w:snapToGrid w:val="0"/>
              <w:spacing w:line="0" w:lineRule="atLeast"/>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2021-2025年</w:t>
            </w:r>
          </w:p>
        </w:tc>
        <w:tc>
          <w:tcPr>
            <w:tcW w:w="1273" w:type="dxa"/>
            <w:shd w:val="clear" w:color="auto" w:fill="auto"/>
            <w:noWrap w:val="0"/>
            <w:vAlign w:val="center"/>
          </w:tcPr>
          <w:p>
            <w:pPr>
              <w:snapToGrid w:val="0"/>
              <w:spacing w:line="0" w:lineRule="atLeast"/>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属</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Ex>
        <w:trPr>
          <w:trHeight w:val="624" w:hRule="atLeast"/>
          <w:jc w:val="center"/>
        </w:trPr>
        <w:tc>
          <w:tcPr>
            <w:tcW w:w="867" w:type="dxa"/>
            <w:vMerge w:val="restart"/>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基础地质工作</w:t>
            </w:r>
          </w:p>
        </w:tc>
        <w:tc>
          <w:tcPr>
            <w:tcW w:w="3590" w:type="dxa"/>
            <w:gridSpan w:val="2"/>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r>
              <w:rPr>
                <w:rFonts w:hint="eastAsia" w:ascii="宋体" w:hAnsi="宋体" w:eastAsia="宋体" w:cs="宋体"/>
                <w:b w:val="0"/>
                <w:bCs w:val="0"/>
                <w:color w:val="000000"/>
                <w:sz w:val="24"/>
              </w:rPr>
              <w:t>1︰10万地下水资源勘查与区划</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万平方千米</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30</w:t>
            </w:r>
          </w:p>
        </w:tc>
        <w:tc>
          <w:tcPr>
            <w:tcW w:w="1273"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7" w:type="dxa"/>
            <w:vMerge w:val="continue"/>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3590" w:type="dxa"/>
            <w:gridSpan w:val="2"/>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r>
              <w:rPr>
                <w:rFonts w:hint="eastAsia" w:ascii="宋体" w:hAnsi="宋体" w:eastAsia="宋体" w:cs="宋体"/>
                <w:b w:val="0"/>
                <w:bCs w:val="0"/>
                <w:color w:val="000000"/>
                <w:sz w:val="24"/>
              </w:rPr>
              <w:t>1︰5万水文地质环境地质调查</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万平方千米</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w:t>
            </w:r>
          </w:p>
        </w:tc>
        <w:tc>
          <w:tcPr>
            <w:tcW w:w="1273"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7" w:type="dxa"/>
            <w:vMerge w:val="continue"/>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3590" w:type="dxa"/>
            <w:gridSpan w:val="2"/>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r>
              <w:rPr>
                <w:rFonts w:hint="eastAsia" w:ascii="宋体" w:hAnsi="宋体" w:eastAsia="宋体" w:cs="宋体"/>
                <w:b w:val="0"/>
                <w:bCs w:val="0"/>
                <w:color w:val="000000"/>
                <w:sz w:val="24"/>
              </w:rPr>
              <w:t>1︰2.5万综合地质调查</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万平方千米</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w:t>
            </w:r>
          </w:p>
        </w:tc>
        <w:tc>
          <w:tcPr>
            <w:tcW w:w="1273"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7" w:type="dxa"/>
            <w:vMerge w:val="continue"/>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3590" w:type="dxa"/>
            <w:gridSpan w:val="2"/>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r>
              <w:rPr>
                <w:rFonts w:hint="eastAsia" w:ascii="宋体" w:hAnsi="宋体" w:eastAsia="宋体" w:cs="宋体"/>
                <w:b w:val="0"/>
                <w:bCs w:val="0"/>
                <w:color w:val="000000"/>
                <w:sz w:val="24"/>
              </w:rPr>
              <w:t>水热型地热资源调查</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万平方千米</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7</w:t>
            </w:r>
          </w:p>
        </w:tc>
        <w:tc>
          <w:tcPr>
            <w:tcW w:w="1273"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7" w:type="dxa"/>
            <w:vMerge w:val="continue"/>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3590" w:type="dxa"/>
            <w:gridSpan w:val="2"/>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r>
              <w:rPr>
                <w:rFonts w:hint="eastAsia" w:ascii="宋体" w:hAnsi="宋体" w:eastAsia="宋体" w:cs="宋体"/>
                <w:b w:val="0"/>
                <w:bCs w:val="0"/>
                <w:color w:val="000000"/>
                <w:sz w:val="24"/>
              </w:rPr>
              <w:t>煤层气调查</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万平方千米</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w:t>
            </w:r>
          </w:p>
        </w:tc>
        <w:tc>
          <w:tcPr>
            <w:tcW w:w="1273"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Ex>
        <w:trPr>
          <w:trHeight w:val="624" w:hRule="atLeast"/>
          <w:jc w:val="center"/>
        </w:trPr>
        <w:tc>
          <w:tcPr>
            <w:tcW w:w="867" w:type="dxa"/>
            <w:vMerge w:val="restart"/>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矿产</w:t>
            </w:r>
          </w:p>
          <w:p>
            <w:pPr>
              <w:snapToGrid w:val="0"/>
              <w:spacing w:line="240" w:lineRule="auto"/>
              <w:ind w:firstLine="0" w:firstLineChars="0"/>
              <w:jc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资源</w:t>
            </w:r>
          </w:p>
          <w:p>
            <w:pPr>
              <w:snapToGrid w:val="0"/>
              <w:spacing w:line="240" w:lineRule="auto"/>
              <w:ind w:firstLine="0" w:firstLineChars="0"/>
              <w:jc w:val="center"/>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勘查</w:t>
            </w:r>
          </w:p>
        </w:tc>
        <w:tc>
          <w:tcPr>
            <w:tcW w:w="3590" w:type="dxa"/>
            <w:gridSpan w:val="2"/>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r>
              <w:rPr>
                <w:rFonts w:hint="eastAsia" w:ascii="宋体" w:hAnsi="宋体" w:eastAsia="宋体" w:cs="宋体"/>
                <w:b w:val="0"/>
                <w:bCs w:val="0"/>
                <w:color w:val="000000"/>
                <w:sz w:val="24"/>
              </w:rPr>
              <w:t>新发现大中型矿产地</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处</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10-15</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867"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811"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新增</w:t>
            </w:r>
          </w:p>
          <w:p>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资源</w:t>
            </w:r>
          </w:p>
          <w:p>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量</w:t>
            </w:r>
          </w:p>
        </w:tc>
        <w:tc>
          <w:tcPr>
            <w:tcW w:w="2779"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铜</w:t>
            </w:r>
          </w:p>
        </w:tc>
        <w:tc>
          <w:tcPr>
            <w:tcW w:w="1660"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rPr>
            </w:pPr>
            <w:r>
              <w:rPr>
                <w:rFonts w:hint="eastAsia" w:ascii="宋体" w:hAnsi="宋体" w:eastAsia="宋体" w:cs="宋体"/>
                <w:b w:val="0"/>
                <w:bCs w:val="0"/>
                <w:color w:val="000000"/>
                <w:kern w:val="2"/>
              </w:rPr>
              <w:t>金属万吨</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50</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867"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811"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2779"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金</w:t>
            </w:r>
          </w:p>
        </w:tc>
        <w:tc>
          <w:tcPr>
            <w:tcW w:w="1660"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rPr>
            </w:pPr>
            <w:r>
              <w:rPr>
                <w:rFonts w:hint="eastAsia" w:ascii="宋体" w:hAnsi="宋体" w:eastAsia="宋体" w:cs="宋体"/>
                <w:b w:val="0"/>
                <w:bCs w:val="0"/>
                <w:color w:val="000000"/>
                <w:kern w:val="2"/>
              </w:rPr>
              <w:t>金属吨</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50</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Ex>
        <w:trPr>
          <w:trHeight w:val="510" w:hRule="atLeast"/>
          <w:jc w:val="center"/>
        </w:trPr>
        <w:tc>
          <w:tcPr>
            <w:tcW w:w="867" w:type="dxa"/>
            <w:vMerge w:val="restart"/>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矿产</w:t>
            </w:r>
          </w:p>
          <w:p>
            <w:pPr>
              <w:snapToGrid w:val="0"/>
              <w:spacing w:line="240" w:lineRule="auto"/>
              <w:ind w:firstLine="0" w:firstLineChars="0"/>
              <w:jc w:val="center"/>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资源</w:t>
            </w:r>
          </w:p>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lang w:val="en-US" w:eastAsia="zh-CN"/>
              </w:rPr>
              <w:t>勘查</w:t>
            </w:r>
          </w:p>
        </w:tc>
        <w:tc>
          <w:tcPr>
            <w:tcW w:w="811"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新增</w:t>
            </w:r>
          </w:p>
          <w:p>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资源</w:t>
            </w:r>
          </w:p>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量</w:t>
            </w:r>
          </w:p>
        </w:tc>
        <w:tc>
          <w:tcPr>
            <w:tcW w:w="2779"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铌</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Nb</w:t>
            </w:r>
            <w:r>
              <w:rPr>
                <w:rFonts w:hint="eastAsia" w:ascii="宋体" w:hAnsi="宋体" w:eastAsia="宋体" w:cs="宋体"/>
                <w:b w:val="0"/>
                <w:bCs w:val="0"/>
                <w:color w:val="000000"/>
                <w:sz w:val="24"/>
                <w:vertAlign w:val="subscript"/>
              </w:rPr>
              <w:t>2</w:t>
            </w:r>
            <w:r>
              <w:rPr>
                <w:rFonts w:hint="eastAsia" w:ascii="宋体" w:hAnsi="宋体" w:eastAsia="宋体" w:cs="宋体"/>
                <w:b w:val="0"/>
                <w:bCs w:val="0"/>
                <w:color w:val="000000"/>
                <w:sz w:val="24"/>
              </w:rPr>
              <w:t>O</w:t>
            </w:r>
            <w:r>
              <w:rPr>
                <w:rFonts w:hint="eastAsia" w:ascii="宋体" w:hAnsi="宋体" w:eastAsia="宋体" w:cs="宋体"/>
                <w:b w:val="0"/>
                <w:bCs w:val="0"/>
                <w:color w:val="000000"/>
                <w:sz w:val="24"/>
                <w:vertAlign w:val="subscript"/>
              </w:rPr>
              <w:t>5</w:t>
            </w:r>
            <w:r>
              <w:rPr>
                <w:rFonts w:hint="eastAsia" w:ascii="宋体" w:hAnsi="宋体" w:eastAsia="宋体" w:cs="宋体"/>
                <w:b w:val="0"/>
                <w:bCs w:val="0"/>
                <w:color w:val="000000"/>
                <w:sz w:val="24"/>
              </w:rPr>
              <w:t>万吨</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67"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811"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2779"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钽</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Ta</w:t>
            </w:r>
            <w:r>
              <w:rPr>
                <w:rFonts w:hint="eastAsia" w:ascii="宋体" w:hAnsi="宋体" w:eastAsia="宋体" w:cs="宋体"/>
                <w:b w:val="0"/>
                <w:bCs w:val="0"/>
                <w:color w:val="000000"/>
                <w:sz w:val="24"/>
                <w:vertAlign w:val="subscript"/>
              </w:rPr>
              <w:t>2</w:t>
            </w:r>
            <w:r>
              <w:rPr>
                <w:rFonts w:hint="eastAsia" w:ascii="宋体" w:hAnsi="宋体" w:eastAsia="宋体" w:cs="宋体"/>
                <w:b w:val="0"/>
                <w:bCs w:val="0"/>
                <w:color w:val="000000"/>
                <w:sz w:val="24"/>
              </w:rPr>
              <w:t>O</w:t>
            </w:r>
            <w:r>
              <w:rPr>
                <w:rFonts w:hint="eastAsia" w:ascii="宋体" w:hAnsi="宋体" w:eastAsia="宋体" w:cs="宋体"/>
                <w:b w:val="0"/>
                <w:bCs w:val="0"/>
                <w:color w:val="000000"/>
                <w:sz w:val="24"/>
                <w:vertAlign w:val="subscript"/>
              </w:rPr>
              <w:t>5</w:t>
            </w:r>
            <w:r>
              <w:rPr>
                <w:rFonts w:hint="eastAsia" w:ascii="宋体" w:hAnsi="宋体" w:eastAsia="宋体" w:cs="宋体"/>
                <w:b w:val="0"/>
                <w:bCs w:val="0"/>
                <w:color w:val="000000"/>
                <w:sz w:val="24"/>
              </w:rPr>
              <w:t>吨</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500</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Ex>
        <w:trPr>
          <w:trHeight w:val="510" w:hRule="atLeast"/>
          <w:jc w:val="center"/>
        </w:trPr>
        <w:tc>
          <w:tcPr>
            <w:tcW w:w="867"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811"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2779"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铟</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In吨</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500</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Ex>
        <w:trPr>
          <w:trHeight w:val="510" w:hRule="atLeast"/>
          <w:jc w:val="center"/>
        </w:trPr>
        <w:tc>
          <w:tcPr>
            <w:tcW w:w="867"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811"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2779"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锡</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金属万吨</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67"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811"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2779"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钼</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金属万吨</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67"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811"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2779"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稀土</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REO万吨</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100</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67"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811"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2779"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萤石</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矿物万吨</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500</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Ex>
        <w:trPr>
          <w:trHeight w:val="510" w:hRule="atLeast"/>
          <w:jc w:val="center"/>
        </w:trPr>
        <w:tc>
          <w:tcPr>
            <w:tcW w:w="867"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811"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2779"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铅+锌</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金属万吨</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500</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67"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811"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2779"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银</w:t>
            </w:r>
          </w:p>
        </w:tc>
        <w:tc>
          <w:tcPr>
            <w:tcW w:w="1660"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金属吨</w:t>
            </w:r>
          </w:p>
        </w:tc>
        <w:tc>
          <w:tcPr>
            <w:tcW w:w="1784"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2000</w:t>
            </w:r>
          </w:p>
        </w:tc>
        <w:tc>
          <w:tcPr>
            <w:tcW w:w="1273"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bl>
    <w:p>
      <w:pPr>
        <w:keepNext w:val="0"/>
        <w:keepLines w:val="0"/>
        <w:pageBreakBefore w:val="0"/>
        <w:widowControl w:val="0"/>
        <w:kinsoku/>
        <w:wordWrap/>
        <w:overflowPunct/>
        <w:topLinePunct w:val="0"/>
        <w:autoSpaceDE/>
        <w:autoSpaceDN/>
        <w:bidi w:val="0"/>
        <w:adjustRightInd/>
        <w:snapToGrid w:val="0"/>
        <w:spacing w:line="200" w:lineRule="exact"/>
        <w:ind w:firstLine="641"/>
        <w:textAlignment w:val="auto"/>
        <w:rPr>
          <w:rFonts w:hint="eastAsia" w:ascii="方正仿宋_GBK" w:hAnsi="方正仿宋_GBK" w:eastAsia="方正仿宋_GBK" w:cs="方正仿宋_GBK"/>
          <w:b w:val="0"/>
          <w:bCs w:val="0"/>
          <w:color w:val="000000"/>
          <w:sz w:val="32"/>
          <w:szCs w:val="32"/>
        </w:rPr>
      </w:pPr>
    </w:p>
    <w:p>
      <w:pPr>
        <w:keepNext w:val="0"/>
        <w:keepLines w:val="0"/>
        <w:pageBreakBefore w:val="0"/>
        <w:widowControl w:val="0"/>
        <w:kinsoku/>
        <w:wordWrap/>
        <w:overflowPunct/>
        <w:topLinePunct/>
        <w:autoSpaceDE/>
        <w:autoSpaceDN/>
        <w:bidi w:val="0"/>
        <w:adjustRightInd/>
        <w:snapToGrid w:val="0"/>
        <w:spacing w:line="580" w:lineRule="exact"/>
        <w:ind w:firstLine="641"/>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布局结构更加合理</w:t>
      </w:r>
      <w:r>
        <w:rPr>
          <w:rFonts w:hint="eastAsia" w:ascii="方正仿宋_GBK" w:hAnsi="方正仿宋_GBK" w:eastAsia="方正仿宋_GBK" w:cs="方正仿宋_GBK"/>
          <w:b w:val="0"/>
          <w:bCs w:val="0"/>
          <w:color w:val="000000"/>
          <w:sz w:val="32"/>
          <w:szCs w:val="32"/>
        </w:rPr>
        <w:t>。推进自治区</w:t>
      </w:r>
      <w:r>
        <w:rPr>
          <w:rFonts w:hint="eastAsia" w:ascii="方正仿宋_GBK" w:hAnsi="方正仿宋_GBK" w:eastAsia="方正仿宋_GBK" w:cs="方正仿宋_GBK"/>
          <w:b w:val="0"/>
          <w:bCs w:val="0"/>
          <w:color w:val="auto"/>
          <w:sz w:val="32"/>
          <w:szCs w:val="32"/>
          <w:lang w:eastAsia="zh-CN"/>
        </w:rPr>
        <w:t>矿业</w:t>
      </w:r>
      <w:r>
        <w:rPr>
          <w:rFonts w:hint="eastAsia" w:ascii="方正仿宋_GBK" w:hAnsi="方正仿宋_GBK" w:eastAsia="方正仿宋_GBK" w:cs="方正仿宋_GBK"/>
          <w:b w:val="0"/>
          <w:bCs w:val="0"/>
          <w:color w:val="000000"/>
          <w:sz w:val="32"/>
          <w:szCs w:val="32"/>
        </w:rPr>
        <w:t>东中西部优势互补、差别化高质量协调发展，分区更加合理、管控更加有效，</w:t>
      </w:r>
      <w:r>
        <w:rPr>
          <w:rFonts w:hint="eastAsia" w:ascii="方正仿宋_GBK" w:hAnsi="方正仿宋_GBK" w:eastAsia="方正仿宋_GBK" w:cs="方正仿宋_GBK"/>
          <w:b w:val="0"/>
          <w:bCs w:val="0"/>
          <w:color w:val="000000"/>
          <w:sz w:val="32"/>
          <w:szCs w:val="32"/>
          <w:lang w:eastAsia="zh-CN"/>
        </w:rPr>
        <w:t>资源开发</w:t>
      </w:r>
      <w:r>
        <w:rPr>
          <w:rFonts w:hint="eastAsia" w:ascii="方正仿宋_GBK" w:hAnsi="方正仿宋_GBK" w:eastAsia="方正仿宋_GBK" w:cs="方正仿宋_GBK"/>
          <w:b w:val="0"/>
          <w:bCs w:val="0"/>
          <w:color w:val="000000"/>
          <w:sz w:val="32"/>
          <w:szCs w:val="32"/>
        </w:rPr>
        <w:t>与区域经济发展、生态环境保护相协调。稳步推进煤炭、稀土等能源资源</w:t>
      </w:r>
      <w:r>
        <w:rPr>
          <w:rFonts w:hint="eastAsia" w:ascii="方正仿宋_GBK" w:hAnsi="方正仿宋_GBK" w:eastAsia="方正仿宋_GBK" w:cs="方正仿宋_GBK"/>
          <w:b w:val="0"/>
          <w:bCs w:val="0"/>
          <w:color w:val="000000"/>
          <w:sz w:val="32"/>
          <w:szCs w:val="32"/>
          <w:u w:val="none"/>
        </w:rPr>
        <w:t>基地建设</w:t>
      </w:r>
      <w:r>
        <w:rPr>
          <w:rFonts w:hint="eastAsia" w:ascii="方正仿宋_GBK" w:hAnsi="方正仿宋_GBK" w:eastAsia="方正仿宋_GBK" w:cs="方正仿宋_GBK"/>
          <w:b w:val="0"/>
          <w:bCs w:val="0"/>
          <w:color w:val="000000"/>
          <w:sz w:val="32"/>
          <w:szCs w:val="32"/>
          <w:u w:val="none"/>
          <w:lang w:eastAsia="zh-CN"/>
        </w:rPr>
        <w:t>和</w:t>
      </w:r>
      <w:r>
        <w:rPr>
          <w:rFonts w:hint="eastAsia" w:ascii="方正仿宋_GBK" w:hAnsi="方正仿宋_GBK" w:eastAsia="方正仿宋_GBK" w:cs="方正仿宋_GBK"/>
          <w:b w:val="0"/>
          <w:bCs w:val="0"/>
          <w:color w:val="000000"/>
          <w:sz w:val="32"/>
          <w:szCs w:val="32"/>
          <w:u w:val="none"/>
        </w:rPr>
        <w:t>国家规划矿区建设</w:t>
      </w:r>
      <w:r>
        <w:rPr>
          <w:rFonts w:hint="eastAsia" w:ascii="方正仿宋_GBK" w:hAnsi="方正仿宋_GBK" w:eastAsia="方正仿宋_GBK" w:cs="方正仿宋_GBK"/>
          <w:b w:val="0"/>
          <w:bCs w:val="0"/>
          <w:color w:val="000000"/>
          <w:sz w:val="32"/>
          <w:szCs w:val="32"/>
        </w:rPr>
        <w:t>，全区煤炭年产量10亿吨左右，稀土氧化物和钨按照国家下达指标生产。</w:t>
      </w:r>
    </w:p>
    <w:p>
      <w:pPr>
        <w:keepNext w:val="0"/>
        <w:keepLines w:val="0"/>
        <w:pageBreakBefore w:val="0"/>
        <w:widowControl w:val="0"/>
        <w:kinsoku/>
        <w:wordWrap/>
        <w:overflowPunct/>
        <w:topLinePunct/>
        <w:autoSpaceDE/>
        <w:autoSpaceDN/>
        <w:bidi w:val="0"/>
        <w:adjustRightInd/>
        <w:snapToGrid w:val="0"/>
        <w:spacing w:line="580" w:lineRule="exact"/>
        <w:ind w:firstLine="641"/>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资源利用更加高效</w:t>
      </w:r>
      <w:r>
        <w:rPr>
          <w:rFonts w:hint="eastAsia" w:ascii="方正仿宋_GBK" w:hAnsi="方正仿宋_GBK" w:eastAsia="方正仿宋_GBK" w:cs="方正仿宋_GBK"/>
          <w:b w:val="0"/>
          <w:bCs w:val="0"/>
          <w:color w:val="000000"/>
          <w:sz w:val="32"/>
          <w:szCs w:val="32"/>
        </w:rPr>
        <w:t>。自治区矿山数量进一步减少，规模化程度明显提高，在期矿山总数控制在2900个以内，大中型矿山比例提高到35%左右。提高新建矿山最低开采规模，除煤层气、富铁、金、地热、矿泉水外</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原则上不再新建小型及以下矿山。</w:t>
      </w:r>
      <w:r>
        <w:rPr>
          <w:rFonts w:hint="eastAsia" w:ascii="方正仿宋_GBK" w:hAnsi="方正仿宋_GBK" w:eastAsia="方正仿宋_GBK" w:cs="方正仿宋_GBK"/>
          <w:b w:val="0"/>
          <w:bCs w:val="0"/>
          <w:color w:val="000000"/>
          <w:sz w:val="32"/>
          <w:szCs w:val="32"/>
          <w:u w:val="none"/>
        </w:rPr>
        <w:t>科技投入逐步</w:t>
      </w:r>
      <w:r>
        <w:rPr>
          <w:rFonts w:hint="eastAsia" w:ascii="方正仿宋_GBK" w:hAnsi="方正仿宋_GBK" w:eastAsia="方正仿宋_GBK" w:cs="方正仿宋_GBK"/>
          <w:b w:val="0"/>
          <w:bCs w:val="0"/>
          <w:color w:val="000000"/>
          <w:sz w:val="32"/>
          <w:szCs w:val="32"/>
          <w:u w:val="none"/>
          <w:lang w:eastAsia="zh-CN"/>
        </w:rPr>
        <w:t>增长</w:t>
      </w:r>
      <w:r>
        <w:rPr>
          <w:rFonts w:hint="eastAsia" w:ascii="方正仿宋_GBK" w:hAnsi="方正仿宋_GBK" w:eastAsia="方正仿宋_GBK" w:cs="方正仿宋_GBK"/>
          <w:b w:val="0"/>
          <w:bCs w:val="0"/>
          <w:color w:val="000000"/>
          <w:sz w:val="32"/>
          <w:szCs w:val="32"/>
          <w:u w:val="none"/>
        </w:rPr>
        <w:t>，</w:t>
      </w:r>
      <w:r>
        <w:rPr>
          <w:rFonts w:hint="eastAsia" w:ascii="方正仿宋_GBK" w:hAnsi="方正仿宋_GBK" w:eastAsia="方正仿宋_GBK" w:cs="方正仿宋_GBK"/>
          <w:b w:val="0"/>
          <w:bCs w:val="0"/>
          <w:color w:val="000000"/>
          <w:sz w:val="32"/>
          <w:szCs w:val="32"/>
        </w:rPr>
        <w:t>矿山节约集约利用水平显著提升，“三率”水平达到国家要求，资源就地转化率逐步提高。</w:t>
      </w:r>
    </w:p>
    <w:p>
      <w:pPr>
        <w:snapToGrid w:val="0"/>
        <w:spacing w:line="580" w:lineRule="exact"/>
        <w:ind w:firstLine="640"/>
        <w:rPr>
          <w:rFonts w:hint="eastAsia" w:ascii="方正仿宋_GBK" w:hAnsi="方正仿宋_GBK" w:eastAsia="方正仿宋_GBK" w:cs="方正仿宋_GBK"/>
          <w:b w:val="0"/>
          <w:bCs w:val="0"/>
          <w:color w:val="000000"/>
          <w:sz w:val="32"/>
          <w:szCs w:val="32"/>
        </w:rPr>
      </w:pPr>
    </w:p>
    <w:p>
      <w:pPr>
        <w:snapToGrid w:val="0"/>
        <w:spacing w:line="580" w:lineRule="exact"/>
        <w:ind w:firstLine="640"/>
        <w:rPr>
          <w:rFonts w:hint="eastAsia" w:ascii="方正仿宋_GBK" w:hAnsi="方正仿宋_GBK" w:eastAsia="方正仿宋_GBK" w:cs="方正仿宋_GBK"/>
          <w:b w:val="0"/>
          <w:bCs w:val="0"/>
          <w:color w:val="000000"/>
          <w:sz w:val="32"/>
          <w:szCs w:val="32"/>
        </w:rPr>
      </w:pPr>
    </w:p>
    <w:p>
      <w:pPr>
        <w:snapToGrid w:val="0"/>
        <w:spacing w:line="580" w:lineRule="exact"/>
        <w:jc w:val="center"/>
        <w:rPr>
          <w:rFonts w:hint="eastAsia" w:ascii="方正仿宋_GBK" w:hAnsi="方正仿宋_GBK" w:eastAsia="方正仿宋_GBK" w:cs="方正仿宋_GBK"/>
          <w:b w:val="0"/>
          <w:bCs w:val="0"/>
          <w:color w:val="000000"/>
          <w:sz w:val="32"/>
          <w:szCs w:val="32"/>
        </w:rPr>
      </w:pPr>
      <w:r>
        <w:rPr>
          <w:rFonts w:hint="eastAsia" w:ascii="方正黑体_GBK" w:hAnsi="方正黑体_GBK" w:eastAsia="方正黑体_GBK" w:cs="方正黑体_GBK"/>
          <w:b w:val="0"/>
          <w:bCs w:val="0"/>
          <w:color w:val="000000"/>
          <w:sz w:val="32"/>
          <w:szCs w:val="32"/>
        </w:rPr>
        <w:t>专栏2</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sz w:val="32"/>
          <w:szCs w:val="32"/>
        </w:rPr>
        <w:t>矿产资源开发利用与保护主要指标</w:t>
      </w:r>
    </w:p>
    <w:p>
      <w:pPr>
        <w:keepNext w:val="0"/>
        <w:keepLines w:val="0"/>
        <w:pageBreakBefore w:val="0"/>
        <w:widowControl w:val="0"/>
        <w:kinsoku/>
        <w:wordWrap/>
        <w:overflowPunct/>
        <w:topLinePunct w:val="0"/>
        <w:autoSpaceDE/>
        <w:autoSpaceDN/>
        <w:bidi w:val="0"/>
        <w:adjustRightInd/>
        <w:snapToGrid w:val="0"/>
        <w:spacing w:line="200" w:lineRule="exact"/>
        <w:ind w:firstLine="641"/>
        <w:textAlignment w:val="auto"/>
        <w:rPr>
          <w:rFonts w:hint="eastAsia" w:ascii="方正仿宋_GBK" w:hAnsi="方正仿宋_GBK" w:eastAsia="方正仿宋_GBK" w:cs="方正仿宋_GBK"/>
          <w:b w:val="0"/>
          <w:bCs w:val="0"/>
          <w:color w:val="000000"/>
          <w:sz w:val="32"/>
          <w:szCs w:val="32"/>
        </w:rPr>
      </w:pPr>
    </w:p>
    <w:tbl>
      <w:tblPr>
        <w:tblStyle w:val="1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859"/>
        <w:gridCol w:w="3337"/>
        <w:gridCol w:w="1696"/>
        <w:gridCol w:w="1726"/>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Ex>
        <w:trPr>
          <w:trHeight w:val="517" w:hRule="atLeast"/>
          <w:tblHeader/>
          <w:jc w:val="center"/>
        </w:trPr>
        <w:tc>
          <w:tcPr>
            <w:tcW w:w="859" w:type="dxa"/>
            <w:shd w:val="clear" w:color="auto" w:fill="auto"/>
            <w:noWrap w:val="0"/>
            <w:vAlign w:val="center"/>
          </w:tcPr>
          <w:p>
            <w:pPr>
              <w:snapToGrid w:val="0"/>
              <w:spacing w:line="240" w:lineRule="auto"/>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类别</w:t>
            </w:r>
          </w:p>
        </w:tc>
        <w:tc>
          <w:tcPr>
            <w:tcW w:w="3337" w:type="dxa"/>
            <w:shd w:val="clear" w:color="auto" w:fill="auto"/>
            <w:noWrap w:val="0"/>
            <w:vAlign w:val="center"/>
          </w:tcPr>
          <w:p>
            <w:pPr>
              <w:snapToGrid w:val="0"/>
              <w:spacing w:line="240" w:lineRule="auto"/>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指</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标</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名</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称</w:t>
            </w:r>
          </w:p>
        </w:tc>
        <w:tc>
          <w:tcPr>
            <w:tcW w:w="1696" w:type="dxa"/>
            <w:shd w:val="clear" w:color="auto" w:fill="auto"/>
            <w:noWrap w:val="0"/>
            <w:vAlign w:val="center"/>
          </w:tcPr>
          <w:p>
            <w:pPr>
              <w:snapToGrid w:val="0"/>
              <w:spacing w:line="240" w:lineRule="auto"/>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单</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位</w:t>
            </w:r>
          </w:p>
        </w:tc>
        <w:tc>
          <w:tcPr>
            <w:tcW w:w="1726" w:type="dxa"/>
            <w:shd w:val="clear" w:color="auto" w:fill="auto"/>
            <w:noWrap w:val="0"/>
            <w:vAlign w:val="center"/>
          </w:tcPr>
          <w:p>
            <w:pPr>
              <w:snapToGrid w:val="0"/>
              <w:spacing w:line="240" w:lineRule="auto"/>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2025年</w:t>
            </w:r>
          </w:p>
        </w:tc>
        <w:tc>
          <w:tcPr>
            <w:tcW w:w="1556" w:type="dxa"/>
            <w:shd w:val="clear" w:color="auto" w:fill="auto"/>
            <w:noWrap w:val="0"/>
            <w:vAlign w:val="center"/>
          </w:tcPr>
          <w:p>
            <w:pPr>
              <w:snapToGrid w:val="0"/>
              <w:spacing w:line="240" w:lineRule="auto"/>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属</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Ex>
        <w:trPr>
          <w:trHeight w:val="567" w:hRule="atLeast"/>
          <w:jc w:val="center"/>
        </w:trPr>
        <w:tc>
          <w:tcPr>
            <w:tcW w:w="85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center"/>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矿产资源开发利用与保护</w:t>
            </w:r>
          </w:p>
        </w:tc>
        <w:tc>
          <w:tcPr>
            <w:tcW w:w="3337"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kern w:val="2"/>
              </w:rPr>
            </w:pPr>
            <w:r>
              <w:rPr>
                <w:rFonts w:hint="eastAsia" w:ascii="宋体" w:hAnsi="宋体" w:eastAsia="宋体" w:cs="宋体"/>
                <w:b w:val="0"/>
                <w:bCs w:val="0"/>
                <w:kern w:val="2"/>
              </w:rPr>
              <w:t>煤炭年开采总量</w:t>
            </w:r>
          </w:p>
        </w:tc>
        <w:tc>
          <w:tcPr>
            <w:tcW w:w="1696"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sz w:val="24"/>
              </w:rPr>
            </w:pPr>
            <w:r>
              <w:rPr>
                <w:rFonts w:hint="eastAsia" w:ascii="宋体" w:hAnsi="宋体" w:eastAsia="宋体" w:cs="宋体"/>
                <w:b w:val="0"/>
                <w:bCs w:val="0"/>
                <w:sz w:val="24"/>
              </w:rPr>
              <w:t>亿吨</w:t>
            </w:r>
          </w:p>
        </w:tc>
        <w:tc>
          <w:tcPr>
            <w:tcW w:w="1726"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sz w:val="24"/>
              </w:rPr>
            </w:pPr>
            <w:r>
              <w:rPr>
                <w:rFonts w:hint="eastAsia" w:ascii="宋体" w:hAnsi="宋体" w:eastAsia="宋体" w:cs="宋体"/>
                <w:b w:val="0"/>
                <w:bCs w:val="0"/>
                <w:sz w:val="24"/>
              </w:rPr>
              <w:t>≤10</w:t>
            </w:r>
          </w:p>
        </w:tc>
        <w:tc>
          <w:tcPr>
            <w:tcW w:w="1556"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sz w:val="24"/>
              </w:rPr>
            </w:pPr>
            <w:r>
              <w:rPr>
                <w:rFonts w:hint="eastAsia" w:ascii="宋体" w:hAnsi="宋体" w:eastAsia="宋体" w:cs="宋体"/>
                <w:b w:val="0"/>
                <w:bCs w:val="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Ex>
        <w:trPr>
          <w:trHeight w:val="567" w:hRule="atLeast"/>
          <w:jc w:val="center"/>
        </w:trPr>
        <w:tc>
          <w:tcPr>
            <w:tcW w:w="859"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3337"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在期矿山总数</w:t>
            </w:r>
          </w:p>
        </w:tc>
        <w:tc>
          <w:tcPr>
            <w:tcW w:w="1696"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个</w:t>
            </w:r>
          </w:p>
        </w:tc>
        <w:tc>
          <w:tcPr>
            <w:tcW w:w="1726"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＜2900</w:t>
            </w:r>
          </w:p>
        </w:tc>
        <w:tc>
          <w:tcPr>
            <w:tcW w:w="1556"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Ex>
        <w:trPr>
          <w:trHeight w:val="567" w:hRule="atLeast"/>
          <w:jc w:val="center"/>
        </w:trPr>
        <w:tc>
          <w:tcPr>
            <w:tcW w:w="859" w:type="dxa"/>
            <w:vMerge w:val="continue"/>
            <w:shd w:val="clear" w:color="auto" w:fill="auto"/>
            <w:noWrap w:val="0"/>
            <w:vAlign w:val="center"/>
          </w:tcPr>
          <w:p>
            <w:pPr>
              <w:snapToGrid w:val="0"/>
              <w:spacing w:line="240" w:lineRule="auto"/>
              <w:ind w:firstLine="0" w:firstLineChars="0"/>
              <w:rPr>
                <w:rFonts w:hint="eastAsia" w:ascii="宋体" w:hAnsi="宋体" w:eastAsia="宋体" w:cs="宋体"/>
                <w:b w:val="0"/>
                <w:bCs w:val="0"/>
                <w:color w:val="000000"/>
                <w:sz w:val="24"/>
              </w:rPr>
            </w:pPr>
          </w:p>
        </w:tc>
        <w:tc>
          <w:tcPr>
            <w:tcW w:w="3337" w:type="dxa"/>
            <w:shd w:val="clear" w:color="auto" w:fill="auto"/>
            <w:noWrap w:val="0"/>
            <w:vAlign w:val="center"/>
          </w:tcPr>
          <w:p>
            <w:pPr>
              <w:pStyle w:val="12"/>
              <w:widowControl w:val="0"/>
              <w:snapToGrid w:val="0"/>
              <w:spacing w:before="0" w:beforeAutospacing="0" w:after="0" w:afterAutospacing="0"/>
              <w:jc w:val="center"/>
              <w:rPr>
                <w:rFonts w:hint="eastAsia" w:ascii="宋体" w:hAnsi="宋体" w:eastAsia="宋体" w:cs="宋体"/>
                <w:b w:val="0"/>
                <w:bCs w:val="0"/>
                <w:color w:val="000000"/>
                <w:kern w:val="2"/>
              </w:rPr>
            </w:pPr>
            <w:r>
              <w:rPr>
                <w:rFonts w:hint="eastAsia" w:ascii="宋体" w:hAnsi="宋体" w:eastAsia="宋体" w:cs="宋体"/>
                <w:b w:val="0"/>
                <w:bCs w:val="0"/>
                <w:color w:val="000000"/>
                <w:kern w:val="2"/>
              </w:rPr>
              <w:t>大中型矿山比例</w:t>
            </w:r>
          </w:p>
        </w:tc>
        <w:tc>
          <w:tcPr>
            <w:tcW w:w="1696"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p>
        </w:tc>
        <w:tc>
          <w:tcPr>
            <w:tcW w:w="1726" w:type="dxa"/>
            <w:shd w:val="clear" w:color="auto" w:fill="auto"/>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35</w:t>
            </w:r>
          </w:p>
        </w:tc>
        <w:tc>
          <w:tcPr>
            <w:tcW w:w="1556" w:type="dxa"/>
            <w:shd w:val="clear" w:color="auto" w:fill="auto"/>
            <w:noWrap w:val="0"/>
            <w:vAlign w:val="center"/>
          </w:tcPr>
          <w:p>
            <w:pPr>
              <w:adjustRightInd w:val="0"/>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预期性</w:t>
            </w:r>
          </w:p>
        </w:tc>
      </w:tr>
    </w:tbl>
    <w:p>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napToGrid w:val="0"/>
          <w:color w:val="000000"/>
          <w:kern w:val="0"/>
          <w:sz w:val="32"/>
          <w:szCs w:val="32"/>
        </w:rPr>
        <w:t>绿色矿山建设全面推进。</w:t>
      </w:r>
      <w:r>
        <w:rPr>
          <w:rFonts w:hint="eastAsia" w:ascii="方正仿宋_GBK" w:hAnsi="方正仿宋_GBK" w:eastAsia="方正仿宋_GBK" w:cs="方正仿宋_GBK"/>
          <w:b w:val="0"/>
          <w:bCs w:val="0"/>
          <w:sz w:val="32"/>
          <w:szCs w:val="32"/>
        </w:rPr>
        <w:t>构建政府主导、部门协同、三级联创的工作机制，建立绿色矿山标准体系制度，实行第三方评估制度和绿色矿山名录管理制度，加大政策支持力度，加快绿色矿山建设进程。强化黄河流域、乌海及周边等重点地区矿山地质环境治理，加强生产矿山的地质环境治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严格监管，督促矿山做到边生产边治理，矿山地质环境治理成效显著。</w:t>
      </w:r>
    </w:p>
    <w:p>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矿政管理改革进一步深化。</w:t>
      </w:r>
      <w:r>
        <w:rPr>
          <w:rFonts w:hint="eastAsia" w:ascii="方正仿宋_GBK" w:hAnsi="方正仿宋_GBK" w:eastAsia="方正仿宋_GBK" w:cs="方正仿宋_GBK"/>
          <w:b w:val="0"/>
          <w:bCs w:val="0"/>
          <w:sz w:val="32"/>
          <w:szCs w:val="32"/>
        </w:rPr>
        <w:t>全面推进矿产资源管理体制机制改革，行政审批效率和信息化管理水平进一步提高。矿产资源储量管理工作更加精细，资源家底更加清楚。积极探索砂石“净矿”出让，出让收益征收、分配机制更趋合理。矿产资源管理制度更加完善，矿产资源领域治理体系和治理能力基本实现现代化。</w:t>
      </w:r>
    </w:p>
    <w:p>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outlineLvl w:val="2"/>
        <w:rPr>
          <w:rFonts w:hint="eastAsia" w:ascii="方正仿宋_GBK" w:hAnsi="方正仿宋_GBK" w:eastAsia="方正仿宋_GBK" w:cs="方正仿宋_GBK"/>
          <w:b w:val="0"/>
          <w:bCs w:val="0"/>
          <w:color w:val="000000"/>
          <w:sz w:val="36"/>
          <w:szCs w:val="36"/>
        </w:rPr>
      </w:pPr>
      <w:bookmarkStart w:id="39" w:name="_Toc71813422"/>
      <w:bookmarkStart w:id="40" w:name="_Toc71799637"/>
      <w:bookmarkStart w:id="41" w:name="_Toc60502783"/>
      <w:r>
        <w:rPr>
          <w:rFonts w:hint="eastAsia" w:ascii="方正仿宋_GBK" w:hAnsi="方正仿宋_GBK"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rPr>
        <w:t>2035年展望</w:t>
      </w:r>
      <w:bookmarkEnd w:id="39"/>
      <w:bookmarkEnd w:id="40"/>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到2035年，重要矿产资源供应保障体系更加稳定，勘查开发空间布局基本合理，</w:t>
      </w:r>
      <w:r>
        <w:rPr>
          <w:rFonts w:hint="eastAsia" w:ascii="方正仿宋_GBK" w:hAnsi="方正仿宋_GBK" w:eastAsia="方正仿宋_GBK" w:cs="方正仿宋_GBK"/>
          <w:b w:val="0"/>
          <w:bCs w:val="0"/>
          <w:color w:val="000000"/>
          <w:sz w:val="32"/>
          <w:szCs w:val="32"/>
          <w:u w:val="none"/>
        </w:rPr>
        <w:t>资源开发与区域发展、生态文明建设更加协调，</w:t>
      </w:r>
      <w:r>
        <w:rPr>
          <w:rFonts w:hint="eastAsia" w:ascii="方正仿宋_GBK" w:hAnsi="方正仿宋_GBK" w:eastAsia="方正仿宋_GBK" w:cs="方正仿宋_GBK"/>
          <w:b w:val="0"/>
          <w:bCs w:val="0"/>
          <w:color w:val="000000"/>
          <w:sz w:val="32"/>
          <w:szCs w:val="32"/>
        </w:rPr>
        <w:t>矿山智能化、规模化、集约化、生态化达到更高水平；资源节约与高效利用的绿色开发模式全面形成，矿产资源管理体制机制更加完善。</w:t>
      </w:r>
      <w:bookmarkStart w:id="42" w:name="_Toc71799462"/>
      <w:bookmarkStart w:id="43" w:name="_Toc69226990"/>
      <w:bookmarkStart w:id="44" w:name="_Toc90371298"/>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80" w:lineRule="exact"/>
        <w:jc w:val="center"/>
        <w:textAlignment w:val="auto"/>
        <w:outlineLvl w:val="2"/>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第三章</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rPr>
        <w:t>矿产资源保护和勘查</w:t>
      </w:r>
      <w:bookmarkEnd w:id="41"/>
      <w:bookmarkEnd w:id="42"/>
      <w:bookmarkEnd w:id="43"/>
      <w:r>
        <w:rPr>
          <w:rFonts w:hint="eastAsia" w:ascii="方正黑体_GBK" w:hAnsi="方正黑体_GBK" w:eastAsia="方正黑体_GBK" w:cs="方正黑体_GBK"/>
          <w:b w:val="0"/>
          <w:bCs w:val="0"/>
          <w:color w:val="000000"/>
          <w:sz w:val="32"/>
          <w:szCs w:val="32"/>
        </w:rPr>
        <w:t>开发总体布局</w:t>
      </w:r>
      <w:bookmarkEnd w:id="44"/>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45" w:name="_Toc90371299"/>
      <w:bookmarkStart w:id="46" w:name="_Toc60502785"/>
      <w:r>
        <w:rPr>
          <w:rFonts w:hint="eastAsia" w:ascii="方正楷体_GBK" w:hAnsi="方正楷体_GBK" w:eastAsia="方正楷体_GBK" w:cs="方正楷体_GBK"/>
          <w:b w:val="0"/>
          <w:bCs w:val="0"/>
          <w:color w:val="000000"/>
        </w:rPr>
        <w:t>第一节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统筹矿产资源勘查开发区域布局</w:t>
      </w:r>
      <w:bookmarkEnd w:id="45"/>
    </w:p>
    <w:p>
      <w:pPr>
        <w:keepNext w:val="0"/>
        <w:keepLines w:val="0"/>
        <w:pageBreakBefore w:val="0"/>
        <w:widowControl w:val="0"/>
        <w:kinsoku/>
        <w:wordWrap/>
        <w:overflowPunct/>
        <w:topLinePunct w:val="0"/>
        <w:bidi w:val="0"/>
        <w:snapToGrid w:val="0"/>
        <w:spacing w:line="580" w:lineRule="exact"/>
        <w:ind w:firstLine="641"/>
        <w:textAlignment w:val="auto"/>
        <w:rPr>
          <w:rFonts w:hint="eastAsia" w:ascii="方正仿宋_GBK" w:hAnsi="方正仿宋_GBK" w:eastAsia="方正仿宋_GBK" w:cs="方正仿宋_GBK"/>
          <w:b w:val="0"/>
          <w:bCs w:val="0"/>
          <w:color w:val="000000"/>
          <w:sz w:val="32"/>
          <w:szCs w:val="32"/>
        </w:rPr>
      </w:pPr>
      <w:bookmarkStart w:id="47" w:name="_Toc54079913"/>
      <w:r>
        <w:rPr>
          <w:rFonts w:hint="eastAsia" w:ascii="方正仿宋_GBK" w:hAnsi="方正仿宋_GBK" w:eastAsia="方正仿宋_GBK" w:cs="方正仿宋_GBK"/>
          <w:b w:val="0"/>
          <w:bCs w:val="0"/>
          <w:snapToGrid w:val="0"/>
          <w:color w:val="000000"/>
          <w:kern w:val="0"/>
          <w:sz w:val="32"/>
          <w:szCs w:val="32"/>
        </w:rPr>
        <w:t>严守生态安全边界</w:t>
      </w:r>
      <w:r>
        <w:rPr>
          <w:rFonts w:hint="eastAsia" w:ascii="方正仿宋_GBK" w:hAnsi="方正仿宋_GBK" w:eastAsia="方正仿宋_GBK" w:cs="方正仿宋_GBK"/>
          <w:b w:val="0"/>
          <w:bCs w:val="0"/>
          <w:color w:val="000000"/>
          <w:sz w:val="32"/>
          <w:szCs w:val="32"/>
        </w:rPr>
        <w:t>。严格落实国土空间管控要求，认真落实“三线一单”（生态保护红线、环境质量底线、资源利用上线和生态环境准入清单）生态环境分区管控要求，落实最严格的草原生态环境保护制度。沿黄生态管控线内，严禁新建、扩建高能耗、高污染项目。能源资源基地、国家规划矿区和重点勘查开采区要做好与生态保护红线和自然保护地的衔接，统筹处理好资源开发与生态保护的关系。资源开发应符合国土空间管控有关要求。</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1"/>
        <w:jc w:val="lef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推进东部地区点上开发面上保护。</w:t>
      </w:r>
      <w:r>
        <w:rPr>
          <w:rFonts w:hint="eastAsia" w:ascii="方正仿宋_GBK" w:hAnsi="方正仿宋_GBK" w:eastAsia="方正仿宋_GBK" w:cs="方正仿宋_GBK"/>
          <w:b w:val="0"/>
          <w:bCs w:val="0"/>
          <w:color w:val="000000"/>
          <w:sz w:val="32"/>
          <w:szCs w:val="32"/>
          <w:lang w:eastAsia="zh-CN"/>
        </w:rPr>
        <w:t>牢固树立</w:t>
      </w:r>
      <w:r>
        <w:rPr>
          <w:rFonts w:hint="eastAsia" w:ascii="方正仿宋_GBK" w:hAnsi="方正仿宋_GBK" w:eastAsia="方正仿宋_GBK" w:cs="方正仿宋_GBK"/>
          <w:b w:val="0"/>
          <w:bCs w:val="0"/>
          <w:color w:val="000000"/>
          <w:sz w:val="32"/>
          <w:szCs w:val="32"/>
        </w:rPr>
        <w:t>生态优先、绿色发展</w:t>
      </w:r>
      <w:r>
        <w:rPr>
          <w:rFonts w:hint="eastAsia" w:ascii="方正仿宋_GBK" w:hAnsi="方正仿宋_GBK" w:eastAsia="方正仿宋_GBK" w:cs="方正仿宋_GBK"/>
          <w:b w:val="0"/>
          <w:bCs w:val="0"/>
          <w:color w:val="000000"/>
          <w:sz w:val="32"/>
          <w:szCs w:val="32"/>
          <w:lang w:eastAsia="zh-CN"/>
        </w:rPr>
        <w:t>的</w:t>
      </w:r>
      <w:r>
        <w:rPr>
          <w:rFonts w:hint="eastAsia" w:ascii="方正仿宋_GBK" w:hAnsi="方正仿宋_GBK" w:eastAsia="方正仿宋_GBK" w:cs="方正仿宋_GBK"/>
          <w:b w:val="0"/>
          <w:bCs w:val="0"/>
          <w:color w:val="000000"/>
          <w:sz w:val="32"/>
          <w:szCs w:val="32"/>
        </w:rPr>
        <w:t>理念，在统筹协调好生态保护与经济发展关系的基础上，形成点上开发</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面上保护的勘查开发格局，开展老矿山深部勘查，提高已有矿山资源利用效率。呼伦贝尔</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、锡林郭勒</w:t>
      </w:r>
      <w:r>
        <w:rPr>
          <w:rFonts w:hint="eastAsia" w:ascii="方正仿宋_GBK" w:hAnsi="方正仿宋_GBK" w:eastAsia="方正仿宋_GBK" w:cs="方正仿宋_GBK"/>
          <w:b w:val="0"/>
          <w:bCs w:val="0"/>
          <w:color w:val="000000"/>
          <w:sz w:val="32"/>
          <w:szCs w:val="32"/>
          <w:lang w:eastAsia="zh-CN"/>
        </w:rPr>
        <w:t>盟</w:t>
      </w:r>
      <w:r>
        <w:rPr>
          <w:rFonts w:hint="eastAsia" w:ascii="方正仿宋_GBK" w:hAnsi="方正仿宋_GBK" w:eastAsia="方正仿宋_GBK" w:cs="方正仿宋_GBK"/>
          <w:b w:val="0"/>
          <w:bCs w:val="0"/>
          <w:color w:val="000000"/>
          <w:sz w:val="32"/>
          <w:szCs w:val="32"/>
        </w:rPr>
        <w:t>地区加强</w:t>
      </w:r>
      <w:r>
        <w:rPr>
          <w:rFonts w:hint="eastAsia" w:ascii="方正仿宋_GBK" w:hAnsi="方正仿宋_GBK" w:eastAsia="方正仿宋_GBK" w:cs="方正仿宋_GBK"/>
          <w:b w:val="0"/>
          <w:bCs w:val="0"/>
          <w:color w:val="000000"/>
          <w:spacing w:val="6"/>
          <w:sz w:val="32"/>
          <w:szCs w:val="32"/>
        </w:rPr>
        <w:t>矿山地质环境治理恢复</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eastAsia="方正仿宋_GBK" w:cs="方正仿宋_GBK"/>
          <w:b w:val="0"/>
          <w:bCs w:val="0"/>
          <w:color w:val="000000"/>
          <w:spacing w:val="6"/>
          <w:sz w:val="32"/>
          <w:szCs w:val="32"/>
        </w:rPr>
        <w:t>全面推动绿色矿山建设。在兴安盟中部</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赤峰</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北部、赤峰</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南部敖汉</w:t>
      </w:r>
      <w:r>
        <w:rPr>
          <w:rFonts w:hint="eastAsia" w:ascii="方正仿宋_GBK" w:hAnsi="方正仿宋_GBK" w:eastAsia="方正仿宋_GBK" w:cs="方正仿宋_GBK"/>
          <w:b w:val="0"/>
          <w:bCs w:val="0"/>
          <w:color w:val="000000"/>
          <w:sz w:val="32"/>
          <w:szCs w:val="32"/>
          <w:lang w:eastAsia="zh-CN"/>
        </w:rPr>
        <w:t>旗</w:t>
      </w:r>
      <w:r>
        <w:rPr>
          <w:rFonts w:hint="eastAsia" w:ascii="方正仿宋_GBK" w:hAnsi="方正仿宋_GBK" w:eastAsia="方正仿宋_GBK" w:cs="方正仿宋_GBK"/>
          <w:b w:val="0"/>
          <w:bCs w:val="0"/>
          <w:color w:val="000000"/>
          <w:sz w:val="32"/>
          <w:szCs w:val="32"/>
        </w:rPr>
        <w:t>地区，重点勘查开发铜、银、铁、铅、锌、锡、钼、金等金属资源，提高金属资源保障能力，建成重要的多金属资源基地。推进呼伦贝尔</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、通辽</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、赤峰</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耕地集中区或硒元素含量高值区土地质量地球化学调查。</w:t>
      </w:r>
    </w:p>
    <w:p>
      <w:pPr>
        <w:snapToGrid w:val="0"/>
        <w:spacing w:line="580" w:lineRule="exact"/>
        <w:ind w:firstLine="640" w:firstLineChars="200"/>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推动中部“几字</w:t>
      </w:r>
      <w:r>
        <w:rPr>
          <w:rFonts w:hint="eastAsia" w:ascii="方正仿宋_GBK" w:hAnsi="方正仿宋_GBK" w:eastAsia="方正仿宋_GBK" w:cs="方正仿宋_GBK"/>
          <w:b w:val="0"/>
          <w:bCs w:val="0"/>
          <w:snapToGrid w:val="0"/>
          <w:color w:val="000000"/>
          <w:kern w:val="0"/>
          <w:sz w:val="32"/>
          <w:szCs w:val="32"/>
          <w:lang w:eastAsia="zh-CN"/>
        </w:rPr>
        <w:t>弯</w:t>
      </w:r>
      <w:r>
        <w:rPr>
          <w:rFonts w:hint="eastAsia" w:ascii="方正仿宋_GBK" w:hAnsi="方正仿宋_GBK" w:eastAsia="方正仿宋_GBK" w:cs="方正仿宋_GBK"/>
          <w:b w:val="0"/>
          <w:bCs w:val="0"/>
          <w:snapToGrid w:val="0"/>
          <w:color w:val="000000"/>
          <w:kern w:val="0"/>
          <w:sz w:val="32"/>
          <w:szCs w:val="32"/>
        </w:rPr>
        <w:t>”资源清洁高效利用</w:t>
      </w:r>
      <w:r>
        <w:rPr>
          <w:rFonts w:hint="eastAsia" w:ascii="方正仿宋_GBK" w:hAnsi="方正仿宋_GBK" w:eastAsia="方正仿宋_GBK" w:cs="方正仿宋_GBK"/>
          <w:b w:val="0"/>
          <w:bCs w:val="0"/>
          <w:color w:val="000000"/>
          <w:sz w:val="32"/>
          <w:szCs w:val="32"/>
        </w:rPr>
        <w:t>。</w:t>
      </w:r>
      <w:r>
        <w:rPr>
          <w:rFonts w:hint="eastAsia" w:ascii="方正仿宋_GBK" w:hAnsi="方正仿宋_GBK" w:eastAsia="方正仿宋_GBK" w:cs="方正仿宋_GBK"/>
          <w:b w:val="0"/>
          <w:bCs w:val="0"/>
          <w:color w:val="auto"/>
          <w:sz w:val="32"/>
          <w:szCs w:val="32"/>
        </w:rPr>
        <w:t>呼和浩特</w:t>
      </w:r>
      <w:r>
        <w:rPr>
          <w:rFonts w:hint="eastAsia" w:ascii="方正仿宋_GBK" w:hAnsi="方正仿宋_GBK" w:eastAsia="方正仿宋_GBK" w:cs="方正仿宋_GBK"/>
          <w:b w:val="0"/>
          <w:bCs w:val="0"/>
          <w:color w:val="auto"/>
          <w:sz w:val="32"/>
          <w:szCs w:val="32"/>
          <w:lang w:eastAsia="zh-CN"/>
        </w:rPr>
        <w:t>市</w:t>
      </w:r>
      <w:r>
        <w:rPr>
          <w:rFonts w:hint="eastAsia" w:ascii="方正仿宋_GBK" w:hAnsi="方正仿宋_GBK" w:eastAsia="方正仿宋_GBK" w:cs="方正仿宋_GBK"/>
          <w:b w:val="0"/>
          <w:bCs w:val="0"/>
          <w:color w:val="auto"/>
          <w:sz w:val="32"/>
          <w:szCs w:val="32"/>
        </w:rPr>
        <w:t>、包头</w:t>
      </w:r>
      <w:r>
        <w:rPr>
          <w:rFonts w:hint="eastAsia" w:ascii="方正仿宋_GBK" w:hAnsi="方正仿宋_GBK" w:eastAsia="方正仿宋_GBK" w:cs="方正仿宋_GBK"/>
          <w:b w:val="0"/>
          <w:bCs w:val="0"/>
          <w:color w:val="auto"/>
          <w:sz w:val="32"/>
          <w:szCs w:val="32"/>
          <w:lang w:eastAsia="zh-CN"/>
        </w:rPr>
        <w:t>市</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u w:val="none"/>
        </w:rPr>
        <w:t>乌兰察布</w:t>
      </w:r>
      <w:r>
        <w:rPr>
          <w:rFonts w:hint="eastAsia" w:ascii="方正仿宋_GBK" w:hAnsi="方正仿宋_GBK" w:eastAsia="方正仿宋_GBK" w:cs="方正仿宋_GBK"/>
          <w:b w:val="0"/>
          <w:bCs w:val="0"/>
          <w:color w:val="auto"/>
          <w:sz w:val="32"/>
          <w:szCs w:val="32"/>
          <w:u w:val="none"/>
          <w:lang w:eastAsia="zh-CN"/>
        </w:rPr>
        <w:t>市</w:t>
      </w:r>
      <w:r>
        <w:rPr>
          <w:rFonts w:hint="eastAsia" w:ascii="方正仿宋_GBK" w:hAnsi="方正仿宋_GBK" w:eastAsia="方正仿宋_GBK" w:cs="方正仿宋_GBK"/>
          <w:b w:val="0"/>
          <w:bCs w:val="0"/>
          <w:color w:val="auto"/>
          <w:sz w:val="32"/>
          <w:szCs w:val="32"/>
          <w:u w:val="none"/>
        </w:rPr>
        <w:t>、</w:t>
      </w:r>
      <w:r>
        <w:rPr>
          <w:rFonts w:hint="eastAsia" w:ascii="方正仿宋_GBK" w:hAnsi="方正仿宋_GBK" w:eastAsia="方正仿宋_GBK" w:cs="方正仿宋_GBK"/>
          <w:b w:val="0"/>
          <w:bCs w:val="0"/>
          <w:color w:val="auto"/>
          <w:sz w:val="32"/>
          <w:szCs w:val="32"/>
        </w:rPr>
        <w:t>鄂尔多斯</w:t>
      </w:r>
      <w:r>
        <w:rPr>
          <w:rFonts w:hint="eastAsia" w:ascii="方正仿宋_GBK" w:hAnsi="方正仿宋_GBK" w:eastAsia="方正仿宋_GBK" w:cs="方正仿宋_GBK"/>
          <w:b w:val="0"/>
          <w:bCs w:val="0"/>
          <w:color w:val="auto"/>
          <w:sz w:val="32"/>
          <w:szCs w:val="32"/>
          <w:lang w:eastAsia="zh-CN"/>
        </w:rPr>
        <w:t>市</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u w:val="none"/>
        </w:rPr>
        <w:t>巴彦淖尔</w:t>
      </w:r>
      <w:r>
        <w:rPr>
          <w:rFonts w:hint="eastAsia" w:ascii="方正仿宋_GBK" w:hAnsi="方正仿宋_GBK" w:eastAsia="方正仿宋_GBK" w:cs="方正仿宋_GBK"/>
          <w:b w:val="0"/>
          <w:bCs w:val="0"/>
          <w:color w:val="auto"/>
          <w:sz w:val="32"/>
          <w:szCs w:val="32"/>
          <w:u w:val="none"/>
          <w:lang w:eastAsia="zh-CN"/>
        </w:rPr>
        <w:t>市</w:t>
      </w:r>
      <w:r>
        <w:rPr>
          <w:rFonts w:hint="eastAsia" w:ascii="方正仿宋_GBK" w:hAnsi="方正仿宋_GBK" w:eastAsia="方正仿宋_GBK" w:cs="方正仿宋_GBK"/>
          <w:b w:val="0"/>
          <w:bCs w:val="0"/>
          <w:color w:val="auto"/>
          <w:sz w:val="32"/>
          <w:szCs w:val="32"/>
          <w:u w:val="none"/>
        </w:rPr>
        <w:t>和乌海</w:t>
      </w:r>
      <w:r>
        <w:rPr>
          <w:rFonts w:hint="eastAsia" w:ascii="方正仿宋_GBK" w:hAnsi="方正仿宋_GBK" w:eastAsia="方正仿宋_GBK" w:cs="方正仿宋_GBK"/>
          <w:b w:val="0"/>
          <w:bCs w:val="0"/>
          <w:color w:val="auto"/>
          <w:sz w:val="32"/>
          <w:szCs w:val="32"/>
          <w:u w:val="none"/>
          <w:lang w:eastAsia="zh-CN"/>
        </w:rPr>
        <w:t>市</w:t>
      </w:r>
      <w:r>
        <w:rPr>
          <w:rFonts w:hint="eastAsia" w:ascii="方正仿宋_GBK" w:hAnsi="方正仿宋_GBK" w:eastAsia="方正仿宋_GBK" w:cs="方正仿宋_GBK"/>
          <w:b w:val="0"/>
          <w:bCs w:val="0"/>
          <w:color w:val="auto"/>
          <w:sz w:val="32"/>
          <w:szCs w:val="32"/>
        </w:rPr>
        <w:t>位于黄河</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几字</w:t>
      </w:r>
      <w:r>
        <w:rPr>
          <w:rFonts w:hint="eastAsia" w:ascii="方正仿宋_GBK" w:hAnsi="方正仿宋_GBK" w:eastAsia="方正仿宋_GBK" w:cs="方正仿宋_GBK"/>
          <w:b w:val="0"/>
          <w:bCs w:val="0"/>
          <w:snapToGrid w:val="0"/>
          <w:color w:val="000000"/>
          <w:kern w:val="0"/>
          <w:sz w:val="32"/>
          <w:szCs w:val="32"/>
          <w:lang w:eastAsia="zh-CN"/>
        </w:rPr>
        <w:t>弯</w:t>
      </w:r>
      <w:r>
        <w:rPr>
          <w:rFonts w:hint="eastAsia" w:ascii="方正仿宋_GBK" w:hAnsi="方正仿宋_GBK" w:eastAsia="方正仿宋_GBK" w:cs="方正仿宋_GBK"/>
          <w:b w:val="0"/>
          <w:bCs w:val="0"/>
          <w:color w:val="auto"/>
          <w:sz w:val="32"/>
          <w:szCs w:val="32"/>
          <w:lang w:eastAsia="zh-CN"/>
        </w:rPr>
        <w:t>”地区</w:t>
      </w:r>
      <w:r>
        <w:rPr>
          <w:rFonts w:hint="eastAsia" w:ascii="方正仿宋_GBK" w:hAnsi="方正仿宋_GBK" w:eastAsia="方正仿宋_GBK" w:cs="方正仿宋_GBK"/>
          <w:b w:val="0"/>
          <w:bCs w:val="0"/>
          <w:color w:val="auto"/>
          <w:sz w:val="32"/>
          <w:szCs w:val="32"/>
        </w:rPr>
        <w:t>，是生态重要区，也是自治区重点发展区域，</w:t>
      </w:r>
      <w:r>
        <w:rPr>
          <w:rFonts w:hint="eastAsia" w:ascii="方正仿宋_GBK" w:hAnsi="方正仿宋_GBK" w:eastAsia="方正仿宋_GBK" w:cs="方正仿宋_GBK"/>
          <w:b w:val="0"/>
          <w:bCs w:val="0"/>
          <w:color w:val="auto"/>
          <w:sz w:val="32"/>
          <w:szCs w:val="32"/>
          <w:lang w:eastAsia="zh-CN"/>
        </w:rPr>
        <w:t>要积极</w:t>
      </w:r>
      <w:r>
        <w:rPr>
          <w:rFonts w:hint="eastAsia" w:ascii="方正仿宋_GBK" w:hAnsi="方正仿宋_GBK" w:eastAsia="方正仿宋_GBK" w:cs="方正仿宋_GBK"/>
          <w:b w:val="0"/>
          <w:bCs w:val="0"/>
          <w:color w:val="auto"/>
          <w:sz w:val="32"/>
          <w:szCs w:val="32"/>
        </w:rPr>
        <w:t>推动资源绿色开发、清洁高效利用，开展城市综合地质调查及地热等非常规能源勘查开发。</w:t>
      </w:r>
      <w:r>
        <w:rPr>
          <w:rFonts w:hint="eastAsia" w:ascii="方正仿宋_GBK" w:hAnsi="方正仿宋_GBK" w:eastAsia="方正仿宋_GBK" w:cs="方正仿宋_GBK"/>
          <w:b w:val="0"/>
          <w:bCs w:val="0"/>
          <w:color w:val="000000"/>
          <w:sz w:val="32"/>
          <w:szCs w:val="32"/>
        </w:rPr>
        <w:t>高标准打造煤炭基地，优化提升鄂尔多斯</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煤炭产能，稳步推进现代化大型煤矿建设，科学有序发展优质产能。围绕包头</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得天独厚的稀土资源，加强稀土高效利用，建成我国重要的稀土新材料研发和生产基地。发挥乌兰察布</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区位优势，打造石墨资源深加工基地，提高四子王旗萤石矿山规模，推进规模化产业化发展。整合乌海及周边地区矿产资源，实现资源集中开发、统一管理、连片治理。</w:t>
      </w:r>
    </w:p>
    <w:p>
      <w:pPr>
        <w:snapToGrid w:val="0"/>
        <w:spacing w:line="580" w:lineRule="exact"/>
        <w:ind w:firstLine="640"/>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加快西部地区矿产资源集聚开发</w:t>
      </w:r>
      <w:r>
        <w:rPr>
          <w:rFonts w:hint="eastAsia" w:ascii="方正仿宋_GBK" w:hAnsi="方正仿宋_GBK" w:eastAsia="方正仿宋_GBK" w:cs="方正仿宋_GBK"/>
          <w:b w:val="0"/>
          <w:bCs w:val="0"/>
          <w:color w:val="000000"/>
          <w:sz w:val="32"/>
          <w:szCs w:val="32"/>
        </w:rPr>
        <w:t>。以重要矿产为主攻矿种，在北山地区和巴彦淖尔</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北部重点勘查区继续加大找矿力度，保障重要矿产资源储量稳定增长，实现重点勘查区找矿突破。额济纳</w:t>
      </w:r>
      <w:r>
        <w:rPr>
          <w:rFonts w:hint="eastAsia" w:ascii="方正仿宋_GBK" w:hAnsi="方正仿宋_GBK" w:eastAsia="方正仿宋_GBK" w:cs="方正仿宋_GBK"/>
          <w:b w:val="0"/>
          <w:bCs w:val="0"/>
          <w:color w:val="000000"/>
          <w:sz w:val="32"/>
          <w:szCs w:val="32"/>
          <w:lang w:eastAsia="zh-CN"/>
        </w:rPr>
        <w:t>旗</w:t>
      </w:r>
      <w:r>
        <w:rPr>
          <w:rFonts w:hint="eastAsia" w:ascii="方正仿宋_GBK" w:hAnsi="方正仿宋_GBK" w:eastAsia="方正仿宋_GBK" w:cs="方正仿宋_GBK"/>
          <w:b w:val="0"/>
          <w:bCs w:val="0"/>
          <w:color w:val="000000"/>
          <w:sz w:val="32"/>
          <w:szCs w:val="32"/>
        </w:rPr>
        <w:t>北山地区以富铁、铜、金等重要矿产为主攻矿种，开展综合地质调查、重要固体矿产勘查、矿山深部找矿、地质科技攻关与综合研究等专项勘查工作，力争实现重要矿产找矿突破。巴彦淖尔</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北部地区加大铁、铜、金等重要矿产深部勘查，提高资源利用水平，建成能源资源基地。</w:t>
      </w:r>
    </w:p>
    <w:bookmarkEnd w:id="47"/>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48" w:name="_Toc71799463"/>
      <w:bookmarkStart w:id="49" w:name="_Toc69226991"/>
      <w:bookmarkStart w:id="50" w:name="_Toc90371300"/>
      <w:bookmarkStart w:id="51" w:name="_Toc71799641"/>
      <w:bookmarkStart w:id="52" w:name="_Toc71813426"/>
      <w:r>
        <w:rPr>
          <w:rFonts w:hint="eastAsia" w:ascii="方正楷体_GBK" w:hAnsi="方正楷体_GBK" w:eastAsia="方正楷体_GBK" w:cs="方正楷体_GBK"/>
          <w:b w:val="0"/>
          <w:bCs w:val="0"/>
          <w:color w:val="000000"/>
        </w:rPr>
        <w:t>第二节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提升能源资源基地</w:t>
      </w:r>
      <w:bookmarkEnd w:id="48"/>
      <w:bookmarkEnd w:id="49"/>
      <w:r>
        <w:rPr>
          <w:rFonts w:hint="eastAsia" w:ascii="方正楷体_GBK" w:hAnsi="方正楷体_GBK" w:eastAsia="方正楷体_GBK" w:cs="方正楷体_GBK"/>
          <w:b w:val="0"/>
          <w:bCs w:val="0"/>
          <w:color w:val="000000"/>
        </w:rPr>
        <w:t>建设水平</w:t>
      </w:r>
      <w:bookmarkEnd w:id="50"/>
    </w:p>
    <w:p>
      <w:pPr>
        <w:snapToGrid w:val="0"/>
        <w:spacing w:line="580" w:lineRule="exact"/>
        <w:ind w:firstLine="640"/>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基地内实行统一规划、统一管理，在生产力布局、基础设施建设、重大项目安排及相关产业政策方面给予重点支持和保障，大力推进资源规模开发和产业集聚发展</w:t>
      </w:r>
      <w:r>
        <w:rPr>
          <w:rFonts w:hint="eastAsia" w:ascii="方正仿宋_GBK" w:hAnsi="方正仿宋_GBK" w:eastAsia="方正仿宋_GBK" w:cs="方正仿宋_GBK"/>
          <w:b w:val="0"/>
          <w:bCs w:val="0"/>
          <w:color w:val="000000"/>
          <w:sz w:val="32"/>
          <w:szCs w:val="32"/>
          <w:lang w:eastAsia="zh-CN"/>
        </w:rPr>
        <w:t>，在</w:t>
      </w:r>
      <w:r>
        <w:rPr>
          <w:rFonts w:hint="eastAsia" w:ascii="方正仿宋_GBK" w:hAnsi="方正仿宋_GBK" w:eastAsia="方正仿宋_GBK" w:cs="方正仿宋_GBK"/>
          <w:b w:val="0"/>
          <w:bCs w:val="0"/>
          <w:color w:val="000000"/>
          <w:sz w:val="32"/>
          <w:szCs w:val="32"/>
        </w:rPr>
        <w:t>合理开发利用矿产资源的同时，保护生态环境和地下水资源。全面完成绿色矿山建设，加强多种资源的综合开采、综合利用及节能减排，加大科技创新投入和人才培养</w:t>
      </w:r>
      <w:r>
        <w:rPr>
          <w:rFonts w:hint="eastAsia" w:ascii="方正仿宋_GBK" w:hAnsi="方正仿宋_GBK" w:eastAsia="方正仿宋_GBK" w:cs="方正仿宋_GBK"/>
          <w:b w:val="0"/>
          <w:bCs w:val="0"/>
          <w:color w:val="000000"/>
          <w:sz w:val="32"/>
          <w:szCs w:val="32"/>
          <w:lang w:eastAsia="zh-CN"/>
        </w:rPr>
        <w:t>力度</w:t>
      </w:r>
      <w:r>
        <w:rPr>
          <w:rFonts w:hint="eastAsia" w:ascii="方正仿宋_GBK" w:hAnsi="方正仿宋_GBK" w:eastAsia="方正仿宋_GBK" w:cs="方正仿宋_GBK"/>
          <w:b w:val="0"/>
          <w:bCs w:val="0"/>
          <w:color w:val="000000"/>
          <w:sz w:val="32"/>
          <w:szCs w:val="32"/>
        </w:rPr>
        <w:t>，率先建设数字化矿山。</w:t>
      </w:r>
    </w:p>
    <w:p>
      <w:pPr>
        <w:snapToGrid w:val="0"/>
        <w:spacing w:line="580" w:lineRule="exact"/>
        <w:ind w:firstLine="640"/>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强化煤炭基地资源保障作用。</w:t>
      </w:r>
      <w:r>
        <w:rPr>
          <w:rFonts w:hint="eastAsia" w:ascii="方正仿宋_GBK" w:hAnsi="方正仿宋_GBK" w:eastAsia="方正仿宋_GBK" w:cs="方正仿宋_GBK"/>
          <w:b w:val="0"/>
          <w:bCs w:val="0"/>
          <w:color w:val="000000"/>
          <w:sz w:val="32"/>
          <w:szCs w:val="32"/>
        </w:rPr>
        <w:t>基地内煤炭产能占全区90%以上</w:t>
      </w:r>
      <w:r>
        <w:rPr>
          <w:rFonts w:hint="eastAsia" w:ascii="方正仿宋_GBK" w:hAnsi="方正仿宋_GBK" w:eastAsia="方正仿宋_GBK" w:cs="方正仿宋_GBK"/>
          <w:b w:val="0"/>
          <w:bCs w:val="0"/>
          <w:color w:val="auto"/>
          <w:sz w:val="32"/>
          <w:szCs w:val="32"/>
        </w:rPr>
        <w:t>，鄂尔多斯</w:t>
      </w:r>
      <w:r>
        <w:rPr>
          <w:rFonts w:hint="eastAsia" w:ascii="方正仿宋_GBK" w:hAnsi="方正仿宋_GBK" w:eastAsia="方正仿宋_GBK" w:cs="方正仿宋_GBK"/>
          <w:b w:val="0"/>
          <w:bCs w:val="0"/>
          <w:color w:val="auto"/>
          <w:sz w:val="32"/>
          <w:szCs w:val="32"/>
          <w:lang w:eastAsia="zh-CN"/>
        </w:rPr>
        <w:t>市地区</w:t>
      </w:r>
      <w:r>
        <w:rPr>
          <w:rFonts w:hint="eastAsia" w:ascii="方正仿宋_GBK" w:hAnsi="方正仿宋_GBK" w:eastAsia="方正仿宋_GBK" w:cs="方正仿宋_GBK"/>
          <w:b w:val="0"/>
          <w:bCs w:val="0"/>
          <w:color w:val="auto"/>
          <w:sz w:val="32"/>
          <w:szCs w:val="32"/>
        </w:rPr>
        <w:t>通过新建和核增释放优质产能</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有效发挥</w:t>
      </w:r>
      <w:r>
        <w:rPr>
          <w:rFonts w:hint="eastAsia" w:ascii="方正仿宋_GBK" w:hAnsi="方正仿宋_GBK" w:eastAsia="方正仿宋_GBK" w:cs="方正仿宋_GBK"/>
          <w:b w:val="0"/>
          <w:bCs w:val="0"/>
          <w:color w:val="auto"/>
          <w:sz w:val="32"/>
          <w:szCs w:val="32"/>
          <w:lang w:eastAsia="zh-CN"/>
        </w:rPr>
        <w:t>内蒙古东部</w:t>
      </w:r>
      <w:r>
        <w:rPr>
          <w:rFonts w:hint="eastAsia" w:ascii="方正仿宋_GBK" w:hAnsi="方正仿宋_GBK" w:eastAsia="方正仿宋_GBK" w:cs="方正仿宋_GBK"/>
          <w:b w:val="0"/>
          <w:bCs w:val="0"/>
          <w:color w:val="auto"/>
          <w:sz w:val="32"/>
          <w:szCs w:val="32"/>
        </w:rPr>
        <w:t>地区“以储保供”作用，有力保障东北地区煤炭供应。</w:t>
      </w:r>
      <w:r>
        <w:rPr>
          <w:rFonts w:hint="eastAsia" w:ascii="方正仿宋_GBK" w:hAnsi="方正仿宋_GBK" w:eastAsia="方正仿宋_GBK" w:cs="方正仿宋_GBK"/>
          <w:b w:val="0"/>
          <w:bCs w:val="0"/>
          <w:color w:val="000000"/>
          <w:sz w:val="32"/>
          <w:szCs w:val="32"/>
        </w:rPr>
        <w:t>加快推动煤矿智能化发展，井下机械化程度基本达到100%，</w:t>
      </w:r>
      <w:r>
        <w:rPr>
          <w:rFonts w:hint="eastAsia" w:ascii="方正仿宋_GBK" w:hAnsi="方正仿宋_GBK" w:eastAsia="方正仿宋_GBK" w:cs="方正仿宋_GBK"/>
          <w:b w:val="0"/>
          <w:bCs w:val="0"/>
          <w:color w:val="000000"/>
          <w:spacing w:val="6"/>
          <w:sz w:val="32"/>
          <w:szCs w:val="32"/>
        </w:rPr>
        <w:t>全面完成智能化建设三年行动工作任务，到“十四五”期末，具备条件的大型正常生产煤矿全部实现智能化</w:t>
      </w:r>
      <w:r>
        <w:rPr>
          <w:rFonts w:hint="eastAsia" w:ascii="方正仿宋_GBK" w:hAnsi="方正仿宋_GBK" w:eastAsia="方正仿宋_GBK" w:cs="方正仿宋_GBK"/>
          <w:b w:val="0"/>
          <w:bCs w:val="0"/>
          <w:color w:val="000000"/>
          <w:spacing w:val="6"/>
          <w:sz w:val="32"/>
          <w:szCs w:val="32"/>
          <w:lang w:eastAsia="zh-CN"/>
        </w:rPr>
        <w:t>，</w:t>
      </w:r>
      <w:r>
        <w:rPr>
          <w:rFonts w:hint="eastAsia" w:ascii="方正仿宋_GBK" w:hAnsi="方正仿宋_GBK" w:eastAsia="方正仿宋_GBK" w:cs="方正仿宋_GBK"/>
          <w:b w:val="0"/>
          <w:bCs w:val="0"/>
          <w:color w:val="auto"/>
          <w:spacing w:val="6"/>
          <w:sz w:val="32"/>
          <w:szCs w:val="32"/>
        </w:rPr>
        <w:t>提升全区煤炭保障能力。</w:t>
      </w:r>
    </w:p>
    <w:p>
      <w:pPr>
        <w:keepNext w:val="0"/>
        <w:keepLines w:val="0"/>
        <w:pageBreakBefore w:val="0"/>
        <w:widowControl w:val="0"/>
        <w:kinsoku/>
        <w:wordWrap/>
        <w:overflowPunct/>
        <w:topLinePunct/>
        <w:autoSpaceDE/>
        <w:autoSpaceDN/>
        <w:bidi w:val="0"/>
        <w:adjustRightInd/>
        <w:snapToGrid w:val="0"/>
        <w:spacing w:line="580" w:lineRule="exact"/>
        <w:ind w:firstLine="641"/>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加强稀土基地资源高效利用。</w:t>
      </w:r>
      <w:r>
        <w:rPr>
          <w:rFonts w:hint="eastAsia" w:ascii="方正仿宋_GBK" w:hAnsi="方正仿宋_GBK" w:eastAsia="方正仿宋_GBK" w:cs="方正仿宋_GBK"/>
          <w:b w:val="0"/>
          <w:bCs w:val="0"/>
          <w:color w:val="000000"/>
          <w:sz w:val="32"/>
          <w:szCs w:val="32"/>
        </w:rPr>
        <w:t>充分发挥包头市稀土资源丰富、产业体系完备</w:t>
      </w:r>
      <w:r>
        <w:rPr>
          <w:rFonts w:hint="eastAsia" w:ascii="方正仿宋_GBK" w:hAnsi="方正仿宋_GBK" w:eastAsia="方正仿宋_GBK" w:cs="方正仿宋_GBK"/>
          <w:b w:val="0"/>
          <w:bCs w:val="0"/>
          <w:color w:val="000000"/>
          <w:sz w:val="32"/>
          <w:szCs w:val="32"/>
          <w:lang w:eastAsia="zh-CN"/>
        </w:rPr>
        <w:t>优势，</w:t>
      </w:r>
      <w:r>
        <w:rPr>
          <w:rFonts w:hint="eastAsia" w:ascii="方正仿宋_GBK" w:hAnsi="方正仿宋_GBK" w:eastAsia="方正仿宋_GBK" w:cs="方正仿宋_GBK"/>
          <w:b w:val="0"/>
          <w:bCs w:val="0"/>
          <w:color w:val="000000"/>
          <w:sz w:val="32"/>
          <w:szCs w:val="32"/>
        </w:rPr>
        <w:t>以及白云鄂博稀土资源研究与综合利用国家重点实验室等科研机构的研发、检验检测优势，</w:t>
      </w:r>
      <w:r>
        <w:rPr>
          <w:rFonts w:hint="eastAsia" w:ascii="方正仿宋_GBK" w:hAnsi="方正仿宋_GBK" w:eastAsia="方正仿宋_GBK" w:cs="方正仿宋_GBK"/>
          <w:b w:val="0"/>
          <w:bCs w:val="0"/>
          <w:color w:val="000000"/>
          <w:sz w:val="32"/>
          <w:szCs w:val="32"/>
          <w:lang w:eastAsia="zh-CN"/>
        </w:rPr>
        <w:t>加强</w:t>
      </w:r>
      <w:r>
        <w:rPr>
          <w:rFonts w:hint="eastAsia" w:ascii="方正仿宋_GBK" w:hAnsi="方正仿宋_GBK" w:eastAsia="方正仿宋_GBK" w:cs="方正仿宋_GBK"/>
          <w:b w:val="0"/>
          <w:bCs w:val="0"/>
          <w:color w:val="000000"/>
          <w:sz w:val="32"/>
          <w:szCs w:val="32"/>
        </w:rPr>
        <w:t>关键共性技术研发，重点开展包头</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现有具备科技资源优势相关领域的研发创新、科技成果中试示范线建设、孵化高科技企业等活动，打造稀土新材料及应用产业集群。</w:t>
      </w:r>
    </w:p>
    <w:p>
      <w:pPr>
        <w:keepNext w:val="0"/>
        <w:keepLines w:val="0"/>
        <w:pageBreakBefore w:val="0"/>
        <w:widowControl w:val="0"/>
        <w:kinsoku/>
        <w:wordWrap/>
        <w:overflowPunct/>
        <w:topLinePunct/>
        <w:autoSpaceDE/>
        <w:autoSpaceDN/>
        <w:bidi w:val="0"/>
        <w:adjustRightInd/>
        <w:snapToGrid w:val="0"/>
        <w:spacing w:line="580" w:lineRule="exact"/>
        <w:ind w:firstLine="641"/>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提升金属基地资源开发水平。</w:t>
      </w:r>
      <w:r>
        <w:rPr>
          <w:rFonts w:hint="eastAsia" w:ascii="方正仿宋_GBK" w:hAnsi="方正仿宋_GBK" w:eastAsia="方正仿宋_GBK" w:cs="方正仿宋_GBK"/>
          <w:b w:val="0"/>
          <w:bCs w:val="0"/>
          <w:color w:val="000000"/>
          <w:sz w:val="32"/>
          <w:szCs w:val="32"/>
        </w:rPr>
        <w:t>加大金属资源基地深部及外围找矿力度，延长矿山服务年限。鼓励矿山企业进行兼并重组和资源整合，打造龙头骨干企业，</w:t>
      </w:r>
      <w:r>
        <w:rPr>
          <w:rFonts w:hint="eastAsia" w:ascii="方正仿宋_GBK" w:hAnsi="方正仿宋_GBK" w:eastAsia="方正仿宋_GBK" w:cs="方正仿宋_GBK"/>
          <w:b w:val="0"/>
          <w:bCs w:val="0"/>
          <w:color w:val="000000"/>
          <w:sz w:val="32"/>
          <w:szCs w:val="32"/>
          <w:lang w:eastAsia="zh-CN"/>
        </w:rPr>
        <w:t>推动</w:t>
      </w:r>
      <w:r>
        <w:rPr>
          <w:rFonts w:hint="eastAsia" w:ascii="方正仿宋_GBK" w:hAnsi="方正仿宋_GBK" w:eastAsia="方正仿宋_GBK" w:cs="方正仿宋_GBK"/>
          <w:b w:val="0"/>
          <w:bCs w:val="0"/>
          <w:color w:val="000000"/>
          <w:sz w:val="32"/>
          <w:szCs w:val="32"/>
        </w:rPr>
        <w:t>资源向冶炼加工骨干企业配置，加快产业融合、上下游联合，实现“探采选冶加”一体化经营。鼓励矿山企业、科研院所和高校共同开展前沿共性技术攻关，着力突破核心关键技术和共性基础技术，推动产业链、供应链多元化，为发展重要新兴产业提供资源保障，打造重要的有色金属资源开发加工产业基地。</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rPr>
          <w:rFonts w:hint="eastAsia" w:ascii="方正仿宋_GBK" w:hAnsi="方正仿宋_GBK" w:eastAsia="方正仿宋_GBK" w:cs="方正仿宋_GBK"/>
          <w:b w:val="0"/>
          <w:bCs w:val="0"/>
          <w:color w:val="000000"/>
          <w:szCs w:val="28"/>
        </w:rPr>
      </w:pPr>
      <w:r>
        <w:rPr>
          <w:rFonts w:hint="eastAsia" w:ascii="方正仿宋_GBK" w:hAnsi="方正仿宋_GBK" w:eastAsia="方正仿宋_GBK" w:cs="方正仿宋_GBK"/>
          <w:b w:val="0"/>
          <w:bCs w:val="0"/>
          <w:snapToGrid w:val="0"/>
          <w:color w:val="000000"/>
          <w:kern w:val="0"/>
          <w:sz w:val="32"/>
          <w:szCs w:val="32"/>
        </w:rPr>
        <w:t>推动晶质石墨基地产业升级。</w:t>
      </w:r>
      <w:r>
        <w:rPr>
          <w:rFonts w:hint="eastAsia" w:ascii="方正仿宋_GBK" w:hAnsi="方正仿宋_GBK" w:eastAsia="方正仿宋_GBK" w:cs="方正仿宋_GBK"/>
          <w:b w:val="0"/>
          <w:bCs w:val="0"/>
          <w:color w:val="000000"/>
          <w:sz w:val="32"/>
          <w:szCs w:val="32"/>
        </w:rPr>
        <w:t>依托兴和县黄土窑晶质石墨，打造内蒙古晶质石墨深加工产业基地，通过矿产品深加工和技术创新，实现资源的效益转化。加强高端产品研发，培育石墨</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石墨材料</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应用产业链，发展高功率石墨电极、石墨（烯）高分子复合、石墨（烯）碳纤维和玻璃纤维等材料，促进规模化生产。</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53" w:name="_Toc90371301"/>
      <w:r>
        <w:rPr>
          <w:rFonts w:hint="eastAsia" w:ascii="方正楷体_GBK" w:hAnsi="方正楷体_GBK" w:eastAsia="方正楷体_GBK" w:cs="方正楷体_GBK"/>
          <w:b w:val="0"/>
          <w:bCs w:val="0"/>
          <w:color w:val="000000"/>
        </w:rPr>
        <w:t>第三节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强化国家规划矿区</w:t>
      </w:r>
      <w:bookmarkEnd w:id="51"/>
      <w:bookmarkEnd w:id="52"/>
      <w:r>
        <w:rPr>
          <w:rFonts w:hint="eastAsia" w:ascii="方正楷体_GBK" w:hAnsi="方正楷体_GBK" w:eastAsia="方正楷体_GBK" w:cs="方正楷体_GBK"/>
          <w:b w:val="0"/>
          <w:bCs w:val="0"/>
          <w:color w:val="000000"/>
        </w:rPr>
        <w:t>保障能力</w:t>
      </w:r>
      <w:bookmarkEnd w:id="53"/>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统筹勘查开发，提</w:t>
      </w:r>
      <w:r>
        <w:rPr>
          <w:rFonts w:hint="eastAsia" w:ascii="方正仿宋_GBK" w:hAnsi="方正仿宋_GBK" w:eastAsia="方正仿宋_GBK" w:cs="方正仿宋_GBK"/>
          <w:b w:val="0"/>
          <w:bCs w:val="0"/>
          <w:color w:val="auto"/>
          <w:sz w:val="32"/>
          <w:szCs w:val="32"/>
        </w:rPr>
        <w:t>高</w:t>
      </w:r>
      <w:r>
        <w:rPr>
          <w:rFonts w:hint="eastAsia" w:ascii="方正仿宋_GBK" w:hAnsi="方正仿宋_GBK" w:eastAsia="方正仿宋_GBK" w:cs="方正仿宋_GBK"/>
          <w:b w:val="0"/>
          <w:bCs w:val="0"/>
          <w:color w:val="auto"/>
          <w:sz w:val="32"/>
          <w:szCs w:val="32"/>
          <w:lang w:eastAsia="zh-CN"/>
        </w:rPr>
        <w:t>准入</w:t>
      </w:r>
      <w:r>
        <w:rPr>
          <w:rFonts w:hint="eastAsia" w:ascii="方正仿宋_GBK" w:hAnsi="方正仿宋_GBK" w:eastAsia="方正仿宋_GBK" w:cs="方正仿宋_GBK"/>
          <w:b w:val="0"/>
          <w:bCs w:val="0"/>
          <w:color w:val="auto"/>
          <w:sz w:val="32"/>
          <w:szCs w:val="32"/>
        </w:rPr>
        <w:t>门</w:t>
      </w:r>
      <w:r>
        <w:rPr>
          <w:rFonts w:hint="eastAsia" w:ascii="方正仿宋_GBK" w:hAnsi="方正仿宋_GBK" w:eastAsia="方正仿宋_GBK" w:cs="方正仿宋_GBK"/>
          <w:b w:val="0"/>
          <w:bCs w:val="0"/>
          <w:color w:val="000000"/>
          <w:sz w:val="32"/>
          <w:szCs w:val="32"/>
        </w:rPr>
        <w:t>槛，优化资源配置，推动优质资源规模开发集约利用，支撑能源资源基地建设。实行总量调控矿种的矿业权投放及开采指标优先向国家规划矿区配置。积极争取财政投入，推进重要矿产勘查，鼓励社会资金投入，提高勘查程度及储量级别。</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54" w:name="_Toc69226994"/>
      <w:bookmarkStart w:id="55" w:name="_Toc71799466"/>
      <w:bookmarkStart w:id="56" w:name="_Toc90371302"/>
      <w:r>
        <w:rPr>
          <w:rFonts w:hint="eastAsia" w:ascii="方正楷体_GBK" w:hAnsi="方正楷体_GBK" w:eastAsia="方正楷体_GBK" w:cs="方正楷体_GBK"/>
          <w:b w:val="0"/>
          <w:bCs w:val="0"/>
          <w:color w:val="000000"/>
        </w:rPr>
        <w:t>第四节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加强矿产资源</w:t>
      </w:r>
      <w:bookmarkEnd w:id="54"/>
      <w:bookmarkEnd w:id="55"/>
      <w:r>
        <w:rPr>
          <w:rFonts w:hint="eastAsia" w:ascii="方正楷体_GBK" w:hAnsi="方正楷体_GBK" w:eastAsia="方正楷体_GBK" w:cs="方正楷体_GBK"/>
          <w:b w:val="0"/>
          <w:bCs w:val="0"/>
          <w:color w:val="000000"/>
        </w:rPr>
        <w:t>保护区管控</w:t>
      </w:r>
      <w:bookmarkEnd w:id="56"/>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lang w:eastAsia="zh-CN"/>
        </w:rPr>
        <w:t>对</w:t>
      </w:r>
      <w:r>
        <w:rPr>
          <w:rFonts w:hint="eastAsia" w:ascii="方正仿宋_GBK" w:hAnsi="方正仿宋_GBK" w:eastAsia="方正仿宋_GBK" w:cs="方正仿宋_GBK"/>
          <w:b w:val="0"/>
          <w:bCs w:val="0"/>
          <w:color w:val="000000"/>
          <w:sz w:val="32"/>
          <w:szCs w:val="32"/>
        </w:rPr>
        <w:t>自然保护地和生态保护红线内暂时不宜开发的大中型矿产地进行保护。</w:t>
      </w:r>
      <w:r>
        <w:rPr>
          <w:rFonts w:hint="eastAsia" w:ascii="方正仿宋_GBK" w:hAnsi="方正仿宋_GBK" w:eastAsia="方正仿宋_GBK" w:cs="方正仿宋_GBK"/>
          <w:b w:val="0"/>
          <w:bCs w:val="0"/>
          <w:sz w:val="32"/>
          <w:szCs w:val="32"/>
        </w:rPr>
        <w:t>矿产资源保护区内，严格</w:t>
      </w:r>
      <w:r>
        <w:rPr>
          <w:rFonts w:hint="eastAsia" w:ascii="方正仿宋_GBK" w:hAnsi="方正仿宋_GBK" w:eastAsia="方正仿宋_GBK" w:cs="方正仿宋_GBK"/>
          <w:b w:val="0"/>
          <w:bCs w:val="0"/>
          <w:color w:val="000000"/>
          <w:sz w:val="32"/>
          <w:szCs w:val="32"/>
        </w:rPr>
        <w:t>保护和监管，建立动态调整机制，根据经济社会发展及外部条件变化进行动态调整，将矿产资源保护区调整为重点开采区，由自治区进行统一规划、科学合理开发。</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rPr>
          <w:rFonts w:hint="eastAsia" w:ascii="方正仿宋_GBK" w:hAnsi="方正仿宋_GBK" w:eastAsia="方正仿宋_GBK" w:cs="方正仿宋_GBK"/>
          <w:b w:val="0"/>
          <w:bCs w:val="0"/>
          <w:color w:val="000000"/>
          <w:sz w:val="32"/>
          <w:szCs w:val="32"/>
        </w:rPr>
      </w:pP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57" w:name="_Toc71813427"/>
      <w:bookmarkStart w:id="58" w:name="_Toc71799642"/>
      <w:bookmarkStart w:id="59" w:name="_Toc90371303"/>
      <w:r>
        <w:rPr>
          <w:rFonts w:hint="eastAsia" w:ascii="方正楷体_GBK" w:hAnsi="方正楷体_GBK" w:eastAsia="方正楷体_GBK" w:cs="方正楷体_GBK"/>
          <w:b w:val="0"/>
          <w:bCs w:val="0"/>
          <w:color w:val="000000"/>
        </w:rPr>
        <w:t>第五节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规范重点勘查开采</w:t>
      </w:r>
      <w:bookmarkEnd w:id="57"/>
      <w:bookmarkEnd w:id="58"/>
      <w:r>
        <w:rPr>
          <w:rFonts w:hint="eastAsia" w:ascii="方正楷体_GBK" w:hAnsi="方正楷体_GBK" w:eastAsia="方正楷体_GBK" w:cs="方正楷体_GBK"/>
          <w:b w:val="0"/>
          <w:bCs w:val="0"/>
          <w:color w:val="000000"/>
        </w:rPr>
        <w:t>规划分区建设</w:t>
      </w:r>
      <w:bookmarkEnd w:id="59"/>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优选北山地区、大兴安岭地区和华北地台北缘成矿带</w:t>
      </w:r>
      <w:r>
        <w:rPr>
          <w:rFonts w:hint="eastAsia" w:ascii="方正仿宋_GBK" w:hAnsi="方正仿宋_GBK" w:eastAsia="方正仿宋_GBK" w:cs="方正仿宋_GBK"/>
          <w:b w:val="0"/>
          <w:bCs w:val="0"/>
          <w:snapToGrid w:val="0"/>
          <w:color w:val="000000"/>
          <w:kern w:val="0"/>
          <w:sz w:val="32"/>
          <w:szCs w:val="32"/>
          <w:lang w:eastAsia="zh-CN"/>
        </w:rPr>
        <w:t>等</w:t>
      </w:r>
      <w:r>
        <w:rPr>
          <w:rFonts w:hint="eastAsia" w:ascii="方正仿宋_GBK" w:hAnsi="方正仿宋_GBK" w:eastAsia="方正仿宋_GBK" w:cs="方正仿宋_GBK"/>
          <w:b w:val="0"/>
          <w:bCs w:val="0"/>
          <w:snapToGrid w:val="0"/>
          <w:color w:val="000000"/>
          <w:kern w:val="0"/>
          <w:sz w:val="32"/>
          <w:szCs w:val="32"/>
        </w:rPr>
        <w:t>成矿条件优越、找矿前景好，大中型矿山的深部和外围等具有资源潜力的区域，以铁、铜、镍、金、钨、钼、“三稀”矿产、萤石等重要矿产为主，划定重点勘查开采区15处；在河套地区划定地热勘查开采区3处。</w:t>
      </w:r>
    </w:p>
    <w:p>
      <w:pPr>
        <w:keepNext w:val="0"/>
        <w:keepLines w:val="0"/>
        <w:pageBreakBefore w:val="0"/>
        <w:widowControl w:val="0"/>
        <w:kinsoku/>
        <w:wordWrap/>
        <w:overflowPunct/>
        <w:topLinePunct/>
        <w:autoSpaceDE/>
        <w:autoSpaceDN/>
        <w:bidi w:val="0"/>
        <w:adjustRightInd/>
        <w:snapToGrid w:val="0"/>
        <w:spacing w:line="580" w:lineRule="exact"/>
        <w:jc w:val="center"/>
        <w:textAlignment w:val="auto"/>
        <w:rPr>
          <w:rFonts w:hint="eastAsia" w:ascii="方正黑体_GBK" w:hAnsi="方正黑体_GBK" w:eastAsia="方正黑体_GBK" w:cs="方正黑体_GBK"/>
          <w:b w:val="0"/>
          <w:bCs w:val="0"/>
          <w:color w:val="000000"/>
          <w:sz w:val="32"/>
          <w:szCs w:val="32"/>
        </w:rPr>
      </w:pPr>
    </w:p>
    <w:p>
      <w:pPr>
        <w:keepNext w:val="0"/>
        <w:keepLines w:val="0"/>
        <w:pageBreakBefore w:val="0"/>
        <w:widowControl w:val="0"/>
        <w:kinsoku/>
        <w:wordWrap/>
        <w:overflowPunct/>
        <w:topLinePunct/>
        <w:autoSpaceDE/>
        <w:autoSpaceDN/>
        <w:bidi w:val="0"/>
        <w:adjustRightInd/>
        <w:snapToGrid w:val="0"/>
        <w:spacing w:line="580" w:lineRule="exact"/>
        <w:jc w:val="center"/>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专栏3</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rPr>
        <w:t>重点勘查开采区</w:t>
      </w:r>
    </w:p>
    <w:p>
      <w:pPr>
        <w:keepNext w:val="0"/>
        <w:keepLines w:val="0"/>
        <w:pageBreakBefore w:val="0"/>
        <w:widowControl w:val="0"/>
        <w:kinsoku/>
        <w:wordWrap/>
        <w:overflowPunct/>
        <w:topLinePunct/>
        <w:autoSpaceDE/>
        <w:autoSpaceDN/>
        <w:bidi w:val="0"/>
        <w:adjustRightInd/>
        <w:snapToGrid w:val="0"/>
        <w:spacing w:line="200" w:lineRule="exact"/>
        <w:jc w:val="center"/>
        <w:textAlignment w:val="auto"/>
        <w:rPr>
          <w:rFonts w:hint="eastAsia" w:ascii="方正黑体_GBK" w:hAnsi="方正黑体_GBK" w:eastAsia="方正黑体_GBK" w:cs="方正黑体_GBK"/>
          <w:b w:val="0"/>
          <w:bCs w:val="0"/>
          <w:color w:val="000000"/>
          <w:sz w:val="32"/>
          <w:szCs w:val="32"/>
        </w:rPr>
      </w:pPr>
    </w:p>
    <w:tbl>
      <w:tblPr>
        <w:tblStyle w:val="1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1495" w:type="dxa"/>
            <w:noWrap w:val="0"/>
            <w:vAlign w:val="center"/>
          </w:tcPr>
          <w:p>
            <w:pPr>
              <w:snapToGrid w:val="0"/>
              <w:spacing w:line="240" w:lineRule="auto"/>
              <w:ind w:firstLine="0" w:firstLineChars="0"/>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矿</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rPr>
              <w:t>种</w:t>
            </w:r>
          </w:p>
        </w:tc>
        <w:tc>
          <w:tcPr>
            <w:tcW w:w="7679" w:type="dxa"/>
            <w:noWrap w:val="0"/>
            <w:vAlign w:val="center"/>
          </w:tcPr>
          <w:p>
            <w:pPr>
              <w:widowControl/>
              <w:snapToGrid w:val="0"/>
              <w:spacing w:line="240" w:lineRule="auto"/>
              <w:ind w:firstLine="0" w:firstLineChars="0"/>
              <w:jc w:val="center"/>
              <w:rPr>
                <w:rFonts w:hint="eastAsia" w:ascii="黑体" w:hAnsi="黑体" w:eastAsia="黑体" w:cs="黑体"/>
                <w:b w:val="0"/>
                <w:bCs w:val="0"/>
                <w:snapToGrid w:val="0"/>
                <w:color w:val="000000"/>
                <w:kern w:val="0"/>
                <w:sz w:val="24"/>
                <w:szCs w:val="24"/>
              </w:rPr>
            </w:pPr>
            <w:r>
              <w:rPr>
                <w:rFonts w:hint="eastAsia" w:ascii="黑体" w:hAnsi="黑体" w:eastAsia="黑体" w:cs="黑体"/>
                <w:b w:val="0"/>
                <w:bCs w:val="0"/>
                <w:color w:val="000000"/>
                <w:kern w:val="0"/>
                <w:sz w:val="24"/>
                <w:szCs w:val="24"/>
              </w:rPr>
              <w:t>重</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rPr>
              <w:t>点</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rPr>
              <w:t>勘</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rPr>
              <w:t>查</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lang w:eastAsia="zh-CN"/>
              </w:rPr>
              <w:t>开</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lang w:eastAsia="zh-CN"/>
              </w:rPr>
              <w:t>采</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rPr>
              <w:t>区</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rPr>
              <w:t>名</w:t>
            </w:r>
            <w:r>
              <w:rPr>
                <w:rFonts w:hint="eastAsia" w:ascii="黑体" w:hAnsi="黑体" w:eastAsia="黑体" w:cs="黑体"/>
                <w:b w:val="0"/>
                <w:bCs w:val="0"/>
                <w:color w:val="000000"/>
                <w:kern w:val="0"/>
                <w:sz w:val="24"/>
                <w:szCs w:val="24"/>
                <w:lang w:val="en-US" w:eastAsia="zh-CN"/>
              </w:rPr>
              <w:t xml:space="preserve"> </w:t>
            </w:r>
            <w:r>
              <w:rPr>
                <w:rFonts w:hint="eastAsia" w:ascii="黑体" w:hAnsi="黑体" w:eastAsia="黑体" w:cs="黑体"/>
                <w:b w:val="0"/>
                <w:bCs w:val="0"/>
                <w:color w:val="000000"/>
                <w:kern w:val="0"/>
                <w:sz w:val="24"/>
                <w:szCs w:val="24"/>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5" w:hRule="atLeast"/>
          <w:jc w:val="center"/>
        </w:trPr>
        <w:tc>
          <w:tcPr>
            <w:tcW w:w="1495" w:type="dxa"/>
            <w:noWrap w:val="0"/>
            <w:vAlign w:val="center"/>
          </w:tcPr>
          <w:p>
            <w:pPr>
              <w:snapToGrid w:val="0"/>
              <w:spacing w:line="240" w:lineRule="atLeast"/>
              <w:ind w:firstLine="0" w:firstLineChars="0"/>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金属矿产</w:t>
            </w:r>
          </w:p>
        </w:tc>
        <w:tc>
          <w:tcPr>
            <w:tcW w:w="7679" w:type="dxa"/>
            <w:noWrap w:val="0"/>
            <w:vAlign w:val="center"/>
          </w:tcPr>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内蒙古额济纳旗北山北带多金属矿重点勘查开采区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内蒙古额济纳旗北山南带多金属矿重点勘查开采区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内蒙古额济纳旗望湖山地区金多金属矿重点勘查开采区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内蒙古额济纳旗雅干－珠斯楞金铜矿重点勘查开采区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内蒙古乌拉特后旗霍各乞铜矿重点勘查开采区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内蒙古白云鄂博铁铌稀土多金属重点勘查开采区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内蒙古白乃庙</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别鲁乌图铜多金属重点勘查开采区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内蒙古武川县赵井沟铌钽矿重点勘查开采区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内蒙古赤峰</w:t>
            </w:r>
            <w:r>
              <w:rPr>
                <w:rFonts w:hint="eastAsia" w:ascii="宋体" w:hAnsi="宋体" w:eastAsia="宋体" w:cs="宋体"/>
                <w:b w:val="0"/>
                <w:bCs w:val="0"/>
                <w:color w:val="000000"/>
                <w:kern w:val="0"/>
                <w:sz w:val="24"/>
                <w:szCs w:val="24"/>
                <w:lang w:eastAsia="zh-CN"/>
              </w:rPr>
              <w:t>市</w:t>
            </w:r>
            <w:r>
              <w:rPr>
                <w:rFonts w:hint="eastAsia" w:ascii="宋体" w:hAnsi="宋体" w:eastAsia="宋体" w:cs="宋体"/>
                <w:b w:val="0"/>
                <w:bCs w:val="0"/>
                <w:color w:val="000000"/>
                <w:kern w:val="0"/>
                <w:sz w:val="24"/>
                <w:szCs w:val="24"/>
              </w:rPr>
              <w:t>南部金矿重点勘查开采区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内蒙古扎鲁特旗巴尔哲锆矿重点勘查开采区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内蒙古阿</w:t>
            </w:r>
            <w:r>
              <w:rPr>
                <w:rFonts w:hint="eastAsia" w:ascii="宋体" w:hAnsi="宋体" w:eastAsia="宋体" w:cs="宋体"/>
                <w:b w:val="0"/>
                <w:bCs w:val="0"/>
                <w:color w:val="000000"/>
                <w:kern w:val="0"/>
                <w:sz w:val="24"/>
                <w:szCs w:val="24"/>
                <w:lang w:eastAsia="zh-CN"/>
              </w:rPr>
              <w:t>拉善</w:t>
            </w:r>
            <w:r>
              <w:rPr>
                <w:rFonts w:hint="eastAsia" w:ascii="宋体" w:hAnsi="宋体" w:eastAsia="宋体" w:cs="宋体"/>
                <w:b w:val="0"/>
                <w:bCs w:val="0"/>
                <w:color w:val="000000"/>
                <w:kern w:val="0"/>
                <w:sz w:val="24"/>
                <w:szCs w:val="24"/>
              </w:rPr>
              <w:t>右旗扎木敖包</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特拜金铁铌多金属矿重点勘查开采区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spacing w:val="-11"/>
                <w:kern w:val="0"/>
                <w:sz w:val="24"/>
                <w:szCs w:val="24"/>
              </w:rPr>
              <w:t>内蒙古阿</w:t>
            </w:r>
            <w:r>
              <w:rPr>
                <w:rFonts w:hint="eastAsia" w:ascii="宋体" w:hAnsi="宋体" w:eastAsia="宋体" w:cs="宋体"/>
                <w:b w:val="0"/>
                <w:bCs w:val="0"/>
                <w:color w:val="000000"/>
                <w:spacing w:val="-11"/>
                <w:kern w:val="0"/>
                <w:sz w:val="24"/>
                <w:szCs w:val="24"/>
                <w:lang w:eastAsia="zh-CN"/>
              </w:rPr>
              <w:t>拉善</w:t>
            </w:r>
            <w:r>
              <w:rPr>
                <w:rFonts w:hint="eastAsia" w:ascii="宋体" w:hAnsi="宋体" w:eastAsia="宋体" w:cs="宋体"/>
                <w:b w:val="0"/>
                <w:bCs w:val="0"/>
                <w:color w:val="000000"/>
                <w:spacing w:val="-11"/>
                <w:kern w:val="0"/>
                <w:sz w:val="24"/>
                <w:szCs w:val="24"/>
              </w:rPr>
              <w:t>右旗塔木素—阿左旗温都尔毛道金铜多金属矿重点勘查开采区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内蒙古克什克腾旗拜仁达坝—哈尔楚鲁图多金属矿重点勘查开采区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内蒙古林西县哈达吐—台莱花多金属矿重点勘查开采区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495" w:type="dxa"/>
            <w:noWrap w:val="0"/>
            <w:vAlign w:val="center"/>
          </w:tcPr>
          <w:p>
            <w:pPr>
              <w:snapToGrid w:val="0"/>
              <w:spacing w:line="240" w:lineRule="atLeast"/>
              <w:ind w:firstLine="0" w:firstLineChars="0"/>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非金属矿产</w:t>
            </w:r>
          </w:p>
        </w:tc>
        <w:tc>
          <w:tcPr>
            <w:tcW w:w="7679" w:type="dxa"/>
            <w:noWrap w:val="0"/>
            <w:vAlign w:val="center"/>
          </w:tcPr>
          <w:p>
            <w:pPr>
              <w:snapToGrid w:val="0"/>
              <w:spacing w:line="240" w:lineRule="atLeast"/>
              <w:ind w:firstLine="0" w:firstLineChars="0"/>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color w:val="000000"/>
                <w:kern w:val="0"/>
                <w:sz w:val="24"/>
                <w:szCs w:val="24"/>
              </w:rPr>
              <w:t>内蒙古四子王旗萤石矿重点勘查开采区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1495" w:type="dxa"/>
            <w:noWrap w:val="0"/>
            <w:vAlign w:val="center"/>
          </w:tcPr>
          <w:p>
            <w:pPr>
              <w:snapToGrid w:val="0"/>
              <w:spacing w:line="240" w:lineRule="atLeast"/>
              <w:ind w:firstLine="0" w:firstLineChars="0"/>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地</w:t>
            </w: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rPr>
              <w:t>热</w:t>
            </w:r>
          </w:p>
        </w:tc>
        <w:tc>
          <w:tcPr>
            <w:tcW w:w="7679" w:type="dxa"/>
            <w:noWrap w:val="0"/>
            <w:vAlign w:val="center"/>
          </w:tcPr>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内蒙古巴彦淖尔</w:t>
            </w:r>
            <w:r>
              <w:rPr>
                <w:rFonts w:hint="eastAsia" w:ascii="宋体" w:hAnsi="宋体" w:eastAsia="宋体" w:cs="宋体"/>
                <w:b w:val="0"/>
                <w:bCs w:val="0"/>
                <w:color w:val="000000"/>
                <w:kern w:val="0"/>
                <w:sz w:val="24"/>
                <w:szCs w:val="24"/>
                <w:lang w:eastAsia="zh-CN"/>
              </w:rPr>
              <w:t>市</w:t>
            </w:r>
            <w:r>
              <w:rPr>
                <w:rFonts w:hint="eastAsia" w:ascii="宋体" w:hAnsi="宋体" w:eastAsia="宋体" w:cs="宋体"/>
                <w:b w:val="0"/>
                <w:bCs w:val="0"/>
                <w:color w:val="000000"/>
                <w:kern w:val="0"/>
                <w:sz w:val="24"/>
                <w:szCs w:val="24"/>
              </w:rPr>
              <w:t>一带地热重点勘查开采区</w:t>
            </w:r>
          </w:p>
          <w:p>
            <w:pPr>
              <w:snapToGrid w:val="0"/>
              <w:spacing w:line="240" w:lineRule="atLeast"/>
              <w:ind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鄂尔多斯</w:t>
            </w:r>
            <w:r>
              <w:rPr>
                <w:rFonts w:hint="eastAsia" w:ascii="宋体" w:hAnsi="宋体" w:eastAsia="宋体" w:cs="宋体"/>
                <w:b w:val="0"/>
                <w:bCs w:val="0"/>
                <w:color w:val="000000"/>
                <w:kern w:val="0"/>
                <w:sz w:val="24"/>
                <w:szCs w:val="24"/>
                <w:lang w:eastAsia="zh-CN"/>
              </w:rPr>
              <w:t>市</w:t>
            </w:r>
            <w:r>
              <w:rPr>
                <w:rFonts w:hint="eastAsia" w:ascii="宋体" w:hAnsi="宋体" w:eastAsia="宋体" w:cs="宋体"/>
                <w:b w:val="0"/>
                <w:bCs w:val="0"/>
                <w:color w:val="000000"/>
                <w:kern w:val="0"/>
                <w:sz w:val="24"/>
                <w:szCs w:val="24"/>
              </w:rPr>
              <w:t>地区地热重点勘查开采区</w:t>
            </w:r>
          </w:p>
          <w:p>
            <w:pPr>
              <w:snapToGrid w:val="0"/>
              <w:spacing w:line="240" w:lineRule="atLeast"/>
              <w:ind w:firstLine="0" w:firstLineChars="0"/>
              <w:rPr>
                <w:rFonts w:hint="eastAsia" w:ascii="宋体" w:hAnsi="宋体" w:eastAsia="宋体" w:cs="宋体"/>
                <w:b w:val="0"/>
                <w:bCs w:val="0"/>
                <w:snapToGrid w:val="0"/>
                <w:color w:val="000000"/>
                <w:kern w:val="0"/>
                <w:sz w:val="24"/>
                <w:szCs w:val="24"/>
              </w:rPr>
            </w:pPr>
            <w:r>
              <w:rPr>
                <w:rFonts w:hint="eastAsia" w:ascii="宋体" w:hAnsi="宋体" w:eastAsia="宋体" w:cs="宋体"/>
                <w:b w:val="0"/>
                <w:bCs w:val="0"/>
                <w:color w:val="000000"/>
                <w:kern w:val="0"/>
                <w:sz w:val="24"/>
                <w:szCs w:val="24"/>
              </w:rPr>
              <w:t>包头—呼和浩特一带地热重点勘查开采区</w:t>
            </w:r>
          </w:p>
        </w:tc>
      </w:tr>
    </w:tbl>
    <w:p>
      <w:pPr>
        <w:keepNext w:val="0"/>
        <w:keepLines w:val="0"/>
        <w:pageBreakBefore w:val="0"/>
        <w:widowControl w:val="0"/>
        <w:kinsoku/>
        <w:wordWrap/>
        <w:overflowPunct/>
        <w:topLinePunct w:val="0"/>
        <w:autoSpaceDE/>
        <w:autoSpaceDN/>
        <w:bidi w:val="0"/>
        <w:adjustRightInd/>
        <w:snapToGrid w:val="0"/>
        <w:spacing w:line="160" w:lineRule="exact"/>
        <w:ind w:firstLine="641"/>
        <w:textAlignment w:val="auto"/>
        <w:rPr>
          <w:rFonts w:hint="eastAsia" w:ascii="方正仿宋_GBK" w:hAnsi="方正仿宋_GBK" w:eastAsia="方正仿宋_GBK" w:cs="方正仿宋_GBK"/>
          <w:b w:val="0"/>
          <w:bCs w:val="0"/>
          <w:snapToGrid w:val="0"/>
          <w:color w:val="000000"/>
          <w:kern w:val="0"/>
          <w:sz w:val="24"/>
          <w:szCs w:val="24"/>
        </w:rPr>
      </w:pPr>
    </w:p>
    <w:p>
      <w:pPr>
        <w:keepNext w:val="0"/>
        <w:keepLines w:val="0"/>
        <w:pageBreakBefore w:val="0"/>
        <w:widowControl w:val="0"/>
        <w:kinsoku/>
        <w:wordWrap/>
        <w:overflowPunct/>
        <w:topLinePunct/>
        <w:autoSpaceDE/>
        <w:autoSpaceDN/>
        <w:bidi w:val="0"/>
        <w:adjustRightInd/>
        <w:snapToGrid w:val="0"/>
        <w:spacing w:line="560" w:lineRule="exact"/>
        <w:ind w:firstLine="641"/>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重点勘查开采区是专项地质勘查资金和社会资金勘查投入的重点区域，要积极构建“基础先行、公益拉动、商业跟进、重点攻关、快速突破”的地质勘查工作机制，提高地质工作程度，探求大中型矿产地，实现矿产勘查重大突破。</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北山及周边地区重点勘查开采区</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包含内蒙古额济纳旗北山北带、额济纳旗北山南带、额济纳旗望湖山、额济纳旗雅干</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珠斯楞、阿</w:t>
      </w:r>
      <w:r>
        <w:rPr>
          <w:rFonts w:hint="eastAsia" w:ascii="方正仿宋_GBK" w:hAnsi="方正仿宋_GBK" w:eastAsia="方正仿宋_GBK" w:cs="方正仿宋_GBK"/>
          <w:b w:val="0"/>
          <w:bCs w:val="0"/>
          <w:snapToGrid w:val="0"/>
          <w:color w:val="000000"/>
          <w:kern w:val="0"/>
          <w:sz w:val="32"/>
          <w:szCs w:val="32"/>
          <w:lang w:eastAsia="zh-CN"/>
        </w:rPr>
        <w:t>拉善</w:t>
      </w:r>
      <w:r>
        <w:rPr>
          <w:rFonts w:hint="eastAsia" w:ascii="方正仿宋_GBK" w:hAnsi="方正仿宋_GBK" w:eastAsia="方正仿宋_GBK" w:cs="方正仿宋_GBK"/>
          <w:b w:val="0"/>
          <w:bCs w:val="0"/>
          <w:snapToGrid w:val="0"/>
          <w:color w:val="000000"/>
          <w:kern w:val="0"/>
          <w:sz w:val="32"/>
          <w:szCs w:val="32"/>
        </w:rPr>
        <w:t>右旗扎木敖包</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特拜、阿</w:t>
      </w:r>
      <w:r>
        <w:rPr>
          <w:rFonts w:hint="eastAsia" w:ascii="方正仿宋_GBK" w:hAnsi="方正仿宋_GBK" w:eastAsia="方正仿宋_GBK" w:cs="方正仿宋_GBK"/>
          <w:b w:val="0"/>
          <w:bCs w:val="0"/>
          <w:snapToGrid w:val="0"/>
          <w:color w:val="000000"/>
          <w:kern w:val="0"/>
          <w:sz w:val="32"/>
          <w:szCs w:val="32"/>
          <w:lang w:eastAsia="zh-CN"/>
        </w:rPr>
        <w:t>拉善</w:t>
      </w:r>
      <w:r>
        <w:rPr>
          <w:rFonts w:hint="eastAsia" w:ascii="方正仿宋_GBK" w:hAnsi="方正仿宋_GBK" w:eastAsia="方正仿宋_GBK" w:cs="方正仿宋_GBK"/>
          <w:b w:val="0"/>
          <w:bCs w:val="0"/>
          <w:snapToGrid w:val="0"/>
          <w:color w:val="000000"/>
          <w:kern w:val="0"/>
          <w:sz w:val="32"/>
          <w:szCs w:val="32"/>
        </w:rPr>
        <w:t>右旗塔木素—阿</w:t>
      </w:r>
      <w:r>
        <w:rPr>
          <w:rFonts w:hint="eastAsia" w:ascii="方正仿宋_GBK" w:hAnsi="方正仿宋_GBK" w:eastAsia="方正仿宋_GBK" w:cs="方正仿宋_GBK"/>
          <w:b w:val="0"/>
          <w:bCs w:val="0"/>
          <w:snapToGrid w:val="0"/>
          <w:color w:val="000000"/>
          <w:kern w:val="0"/>
          <w:sz w:val="32"/>
          <w:szCs w:val="32"/>
          <w:lang w:eastAsia="zh-CN"/>
        </w:rPr>
        <w:t>拉善</w:t>
      </w:r>
      <w:r>
        <w:rPr>
          <w:rFonts w:hint="eastAsia" w:ascii="方正仿宋_GBK" w:hAnsi="方正仿宋_GBK" w:eastAsia="方正仿宋_GBK" w:cs="方正仿宋_GBK"/>
          <w:b w:val="0"/>
          <w:bCs w:val="0"/>
          <w:snapToGrid w:val="0"/>
          <w:color w:val="000000"/>
          <w:kern w:val="0"/>
          <w:sz w:val="32"/>
          <w:szCs w:val="32"/>
        </w:rPr>
        <w:t>左旗温都尔毛道6个多金属矿重点勘查开采区</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加</w:t>
      </w:r>
      <w:r>
        <w:rPr>
          <w:rFonts w:hint="eastAsia" w:ascii="方正仿宋_GBK" w:hAnsi="方正仿宋_GBK" w:eastAsia="方正仿宋_GBK" w:cs="方正仿宋_GBK"/>
          <w:b w:val="0"/>
          <w:bCs w:val="0"/>
          <w:snapToGrid w:val="0"/>
          <w:color w:val="000000"/>
          <w:kern w:val="0"/>
          <w:sz w:val="32"/>
          <w:szCs w:val="32"/>
          <w:lang w:eastAsia="zh-CN"/>
        </w:rPr>
        <w:t>大</w:t>
      </w:r>
      <w:r>
        <w:rPr>
          <w:rFonts w:hint="eastAsia" w:ascii="方正仿宋_GBK" w:hAnsi="方正仿宋_GBK" w:eastAsia="方正仿宋_GBK" w:cs="方正仿宋_GBK"/>
          <w:b w:val="0"/>
          <w:bCs w:val="0"/>
          <w:snapToGrid w:val="0"/>
          <w:color w:val="000000"/>
          <w:kern w:val="0"/>
          <w:sz w:val="32"/>
          <w:szCs w:val="32"/>
        </w:rPr>
        <w:t>地质勘查资金投入，以铁、铜、金等重要矿产为主攻矿种，开展重要固体矿产勘查、矿山深部找矿，力争发现4</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6个大中型矿产地，重要矿产资源储量明显增加。</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大兴安岭地区重点勘查开采区，包含内蒙古赤峰南部金矿、扎鲁特旗巴尔哲锆矿、克什克腾旗拜仁达坝—哈尔楚鲁图多金属矿、林西县哈达吐—台莱花多金属矿4个重点勘查开采区</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鼓励开展深部及外围矿产勘查，通过攻深找盲、探边摸底，提交新增资源储量。</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spacing w:val="-6"/>
          <w:kern w:val="0"/>
          <w:sz w:val="32"/>
          <w:szCs w:val="32"/>
        </w:rPr>
        <w:t>华北地台北缘成矿带重点勘查开采区，</w:t>
      </w:r>
      <w:r>
        <w:rPr>
          <w:rFonts w:hint="eastAsia" w:ascii="方正仿宋_GBK" w:hAnsi="方正仿宋_GBK" w:eastAsia="方正仿宋_GBK" w:cs="方正仿宋_GBK"/>
          <w:b w:val="0"/>
          <w:bCs w:val="0"/>
          <w:snapToGrid w:val="0"/>
          <w:color w:val="000000"/>
          <w:spacing w:val="-6"/>
          <w:kern w:val="0"/>
          <w:sz w:val="32"/>
          <w:szCs w:val="32"/>
          <w:lang w:eastAsia="zh-CN"/>
        </w:rPr>
        <w:t>包含</w:t>
      </w:r>
      <w:r>
        <w:rPr>
          <w:rFonts w:hint="eastAsia" w:ascii="方正仿宋_GBK" w:hAnsi="方正仿宋_GBK" w:eastAsia="方正仿宋_GBK" w:cs="方正仿宋_GBK"/>
          <w:b w:val="0"/>
          <w:bCs w:val="0"/>
          <w:snapToGrid w:val="0"/>
          <w:color w:val="000000"/>
          <w:spacing w:val="-6"/>
          <w:kern w:val="0"/>
          <w:sz w:val="32"/>
          <w:szCs w:val="32"/>
        </w:rPr>
        <w:t>内蒙古乌拉特后旗霍各乞铜矿、</w:t>
      </w:r>
      <w:r>
        <w:rPr>
          <w:rFonts w:hint="eastAsia" w:ascii="方正仿宋_GBK" w:hAnsi="方正仿宋_GBK" w:eastAsia="方正仿宋_GBK" w:cs="方正仿宋_GBK"/>
          <w:b w:val="0"/>
          <w:bCs w:val="0"/>
          <w:snapToGrid w:val="0"/>
          <w:color w:val="000000"/>
          <w:spacing w:val="-6"/>
          <w:kern w:val="0"/>
          <w:sz w:val="32"/>
          <w:szCs w:val="32"/>
          <w:lang w:eastAsia="zh-CN"/>
        </w:rPr>
        <w:t>白</w:t>
      </w:r>
      <w:r>
        <w:rPr>
          <w:rFonts w:hint="eastAsia" w:ascii="方正仿宋_GBK" w:hAnsi="方正仿宋_GBK" w:eastAsia="方正仿宋_GBK" w:cs="方正仿宋_GBK"/>
          <w:b w:val="0"/>
          <w:bCs w:val="0"/>
          <w:snapToGrid w:val="0"/>
          <w:color w:val="000000"/>
          <w:spacing w:val="-6"/>
          <w:kern w:val="0"/>
          <w:sz w:val="32"/>
          <w:szCs w:val="32"/>
        </w:rPr>
        <w:t>云鄂博铁铌稀土多金属、白乃庙</w:t>
      </w:r>
      <w:r>
        <w:rPr>
          <w:rFonts w:hint="eastAsia" w:ascii="方正仿宋_GBK" w:hAnsi="方正仿宋_GBK" w:eastAsia="方正仿宋_GBK" w:cs="方正仿宋_GBK"/>
          <w:b w:val="0"/>
          <w:bCs w:val="0"/>
          <w:snapToGrid w:val="0"/>
          <w:color w:val="000000"/>
          <w:spacing w:val="-6"/>
          <w:kern w:val="0"/>
          <w:sz w:val="32"/>
          <w:szCs w:val="32"/>
          <w:lang w:eastAsia="zh-CN"/>
        </w:rPr>
        <w:t>—</w:t>
      </w:r>
      <w:r>
        <w:rPr>
          <w:rFonts w:hint="eastAsia" w:ascii="方正仿宋_GBK" w:hAnsi="方正仿宋_GBK" w:eastAsia="方正仿宋_GBK" w:cs="方正仿宋_GBK"/>
          <w:b w:val="0"/>
          <w:bCs w:val="0"/>
          <w:snapToGrid w:val="0"/>
          <w:color w:val="000000"/>
          <w:spacing w:val="-6"/>
          <w:kern w:val="0"/>
          <w:sz w:val="32"/>
          <w:szCs w:val="32"/>
        </w:rPr>
        <w:t>别鲁乌图铜多金属、武川县赵井沟铌钽矿、四子王旗萤石矿5个重点勘查开采区</w:t>
      </w:r>
      <w:r>
        <w:rPr>
          <w:rFonts w:hint="eastAsia" w:ascii="方正仿宋_GBK" w:hAnsi="方正仿宋_GBK" w:eastAsia="方正仿宋_GBK" w:cs="方正仿宋_GBK"/>
          <w:b w:val="0"/>
          <w:bCs w:val="0"/>
          <w:snapToGrid w:val="0"/>
          <w:color w:val="000000"/>
          <w:spacing w:val="-6"/>
          <w:kern w:val="0"/>
          <w:sz w:val="32"/>
          <w:szCs w:val="32"/>
          <w:lang w:eastAsia="zh-CN"/>
        </w:rPr>
        <w:t>。</w:t>
      </w:r>
      <w:r>
        <w:rPr>
          <w:rFonts w:hint="eastAsia" w:ascii="方正仿宋_GBK" w:hAnsi="方正仿宋_GBK" w:eastAsia="方正仿宋_GBK" w:cs="方正仿宋_GBK"/>
          <w:b w:val="0"/>
          <w:bCs w:val="0"/>
          <w:snapToGrid w:val="0"/>
          <w:color w:val="000000"/>
          <w:spacing w:val="-6"/>
          <w:kern w:val="0"/>
          <w:sz w:val="32"/>
          <w:szCs w:val="32"/>
        </w:rPr>
        <w:t>加强铜、“三稀”、萤石等重要矿产勘查，推进资源高水平开发。</w:t>
      </w:r>
    </w:p>
    <w:bookmarkEnd w:id="46"/>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color w:val="000000"/>
          <w:sz w:val="32"/>
          <w:szCs w:val="32"/>
        </w:rPr>
      </w:pPr>
      <w:bookmarkStart w:id="60" w:name="_Toc60502793"/>
      <w:bookmarkStart w:id="61" w:name="_Toc69226995"/>
      <w:bookmarkStart w:id="62" w:name="_Toc71799467"/>
      <w:bookmarkStart w:id="63" w:name="_Toc90371304"/>
      <w:r>
        <w:rPr>
          <w:rFonts w:hint="eastAsia" w:ascii="方正黑体_GBK" w:hAnsi="方正黑体_GBK" w:eastAsia="方正黑体_GBK" w:cs="方正黑体_GBK"/>
          <w:b w:val="0"/>
          <w:bCs w:val="0"/>
          <w:color w:val="000000"/>
          <w:sz w:val="32"/>
          <w:szCs w:val="32"/>
        </w:rPr>
        <w:t>第四章</w:t>
      </w:r>
      <w:bookmarkEnd w:id="60"/>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rPr>
        <w:t>矿产资源调查评价与勘查</w:t>
      </w:r>
      <w:bookmarkEnd w:id="61"/>
      <w:bookmarkEnd w:id="62"/>
      <w:bookmarkEnd w:id="63"/>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64" w:name="_Toc90371305"/>
      <w:bookmarkStart w:id="65" w:name="_Toc69226996"/>
      <w:bookmarkStart w:id="66" w:name="_Toc60502794"/>
      <w:bookmarkStart w:id="67" w:name="_Toc71799468"/>
      <w:r>
        <w:rPr>
          <w:rFonts w:hint="eastAsia" w:ascii="方正楷体_GBK" w:hAnsi="方正楷体_GBK" w:eastAsia="方正楷体_GBK" w:cs="方正楷体_GBK"/>
          <w:b w:val="0"/>
          <w:bCs w:val="0"/>
          <w:color w:val="000000"/>
        </w:rPr>
        <w:t>第一节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统筹推进基础地质调查与评价</w:t>
      </w:r>
      <w:bookmarkEnd w:id="64"/>
      <w:bookmarkEnd w:id="65"/>
      <w:bookmarkEnd w:id="66"/>
      <w:bookmarkEnd w:id="67"/>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szCs w:val="32"/>
        </w:rPr>
      </w:pPr>
      <w:bookmarkStart w:id="68" w:name="_Toc71799653"/>
      <w:bookmarkStart w:id="69" w:name="_Toc71813438"/>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夯实基础地质调查</w:t>
      </w:r>
      <w:bookmarkEnd w:id="68"/>
      <w:bookmarkEnd w:id="69"/>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开展额济纳</w:t>
      </w:r>
      <w:r>
        <w:rPr>
          <w:rFonts w:hint="eastAsia" w:ascii="方正仿宋_GBK" w:hAnsi="方正仿宋_GBK" w:eastAsia="方正仿宋_GBK" w:cs="方正仿宋_GBK"/>
          <w:b w:val="0"/>
          <w:bCs w:val="0"/>
          <w:snapToGrid w:val="0"/>
          <w:color w:val="000000"/>
          <w:kern w:val="0"/>
          <w:sz w:val="32"/>
          <w:szCs w:val="32"/>
          <w:lang w:eastAsia="zh-CN"/>
        </w:rPr>
        <w:t>旗</w:t>
      </w:r>
      <w:r>
        <w:rPr>
          <w:rFonts w:hint="eastAsia" w:ascii="方正仿宋_GBK" w:hAnsi="方正仿宋_GBK" w:eastAsia="方正仿宋_GBK" w:cs="方正仿宋_GBK"/>
          <w:b w:val="0"/>
          <w:bCs w:val="0"/>
          <w:snapToGrid w:val="0"/>
          <w:color w:val="000000"/>
          <w:kern w:val="0"/>
          <w:sz w:val="32"/>
          <w:szCs w:val="32"/>
        </w:rPr>
        <w:t>北山等地区1︰5万区域地质调查</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鄂尔多斯</w:t>
      </w:r>
      <w:r>
        <w:rPr>
          <w:rFonts w:hint="eastAsia" w:ascii="方正仿宋_GBK" w:hAnsi="方正仿宋_GBK" w:eastAsia="方正仿宋_GBK" w:cs="方正仿宋_GBK"/>
          <w:b w:val="0"/>
          <w:bCs w:val="0"/>
          <w:snapToGrid w:val="0"/>
          <w:color w:val="000000"/>
          <w:kern w:val="0"/>
          <w:sz w:val="32"/>
          <w:szCs w:val="32"/>
          <w:lang w:eastAsia="zh-CN"/>
        </w:rPr>
        <w:t>市</w:t>
      </w:r>
      <w:r>
        <w:rPr>
          <w:rFonts w:hint="eastAsia" w:ascii="方正仿宋_GBK" w:hAnsi="方正仿宋_GBK" w:eastAsia="方正仿宋_GBK" w:cs="方正仿宋_GBK"/>
          <w:b w:val="0"/>
          <w:bCs w:val="0"/>
          <w:snapToGrid w:val="0"/>
          <w:color w:val="000000"/>
          <w:kern w:val="0"/>
          <w:sz w:val="32"/>
          <w:szCs w:val="32"/>
        </w:rPr>
        <w:t>等重要油气盆地及外围地区1︰10万航空物探测量</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河套等盆地及外围地区1︰25万区域重力测量，提高基础地质工作程度和精度，为摸清资源潜力夯实基础，服务地方经济发展需求。继续开展以旗县</w:t>
      </w:r>
      <w:r>
        <w:rPr>
          <w:rFonts w:hint="eastAsia" w:ascii="方正仿宋_GBK" w:hAnsi="方正仿宋_GBK" w:eastAsia="方正仿宋_GBK" w:cs="方正仿宋_GBK"/>
          <w:b w:val="0"/>
          <w:bCs w:val="0"/>
          <w:snapToGrid w:val="0"/>
          <w:color w:val="000000"/>
          <w:kern w:val="0"/>
          <w:sz w:val="32"/>
          <w:szCs w:val="32"/>
          <w:lang w:eastAsia="zh-CN"/>
        </w:rPr>
        <w:t>（市、区）</w:t>
      </w:r>
      <w:r>
        <w:rPr>
          <w:rFonts w:hint="eastAsia" w:ascii="方正仿宋_GBK" w:hAnsi="方正仿宋_GBK" w:eastAsia="方正仿宋_GBK" w:cs="方正仿宋_GBK"/>
          <w:b w:val="0"/>
          <w:bCs w:val="0"/>
          <w:snapToGrid w:val="0"/>
          <w:color w:val="000000"/>
          <w:kern w:val="0"/>
          <w:sz w:val="32"/>
          <w:szCs w:val="32"/>
        </w:rPr>
        <w:t>为单位</w:t>
      </w:r>
      <w:r>
        <w:rPr>
          <w:rFonts w:hint="eastAsia" w:ascii="方正仿宋_GBK" w:hAnsi="方正仿宋_GBK" w:eastAsia="方正仿宋_GBK" w:cs="方正仿宋_GBK"/>
          <w:b w:val="0"/>
          <w:bCs w:val="0"/>
          <w:snapToGrid w:val="0"/>
          <w:color w:val="000000"/>
          <w:kern w:val="0"/>
          <w:sz w:val="32"/>
          <w:szCs w:val="32"/>
          <w:lang w:eastAsia="zh-CN"/>
        </w:rPr>
        <w:t>的</w:t>
      </w:r>
      <w:r>
        <w:rPr>
          <w:rFonts w:hint="eastAsia" w:ascii="方正仿宋_GBK" w:hAnsi="方正仿宋_GBK" w:eastAsia="方正仿宋_GBK" w:cs="方正仿宋_GBK"/>
          <w:b w:val="0"/>
          <w:bCs w:val="0"/>
          <w:snapToGrid w:val="0"/>
          <w:color w:val="000000"/>
          <w:kern w:val="0"/>
          <w:sz w:val="32"/>
          <w:szCs w:val="32"/>
        </w:rPr>
        <w:t>1︰10万地下水资源勘查与区划，选取重点地区开展1︰5万水文地质环境地质调查，圈定一批富水地段，</w:t>
      </w:r>
      <w:r>
        <w:rPr>
          <w:rFonts w:hint="eastAsia" w:ascii="方正仿宋_GBK" w:hAnsi="方正仿宋_GBK" w:eastAsia="方正仿宋_GBK" w:cs="方正仿宋_GBK"/>
          <w:b w:val="0"/>
          <w:bCs w:val="0"/>
          <w:snapToGrid w:val="0"/>
          <w:color w:val="000000"/>
          <w:kern w:val="0"/>
          <w:sz w:val="32"/>
          <w:szCs w:val="32"/>
          <w:lang w:eastAsia="zh-CN"/>
        </w:rPr>
        <w:t>实施</w:t>
      </w:r>
      <w:r>
        <w:rPr>
          <w:rFonts w:hint="eastAsia" w:ascii="方正仿宋_GBK" w:hAnsi="方正仿宋_GBK" w:eastAsia="方正仿宋_GBK" w:cs="方正仿宋_GBK"/>
          <w:b w:val="0"/>
          <w:bCs w:val="0"/>
          <w:snapToGrid w:val="0"/>
          <w:color w:val="000000"/>
          <w:kern w:val="0"/>
          <w:sz w:val="32"/>
          <w:szCs w:val="32"/>
        </w:rPr>
        <w:t>缺水地区找水勘查，施工一批探采结合井，优先解决集中连片特困区人畜饮水困难。央地协调开展额济纳</w:t>
      </w:r>
      <w:r>
        <w:rPr>
          <w:rFonts w:hint="eastAsia" w:ascii="方正仿宋_GBK" w:hAnsi="方正仿宋_GBK" w:eastAsia="方正仿宋_GBK" w:cs="方正仿宋_GBK"/>
          <w:b w:val="0"/>
          <w:bCs w:val="0"/>
          <w:snapToGrid w:val="0"/>
          <w:color w:val="000000"/>
          <w:kern w:val="0"/>
          <w:sz w:val="32"/>
          <w:szCs w:val="32"/>
          <w:lang w:eastAsia="zh-CN"/>
        </w:rPr>
        <w:t>旗</w:t>
      </w:r>
      <w:r>
        <w:rPr>
          <w:rFonts w:hint="eastAsia" w:ascii="方正仿宋_GBK" w:hAnsi="方正仿宋_GBK" w:eastAsia="方正仿宋_GBK" w:cs="方正仿宋_GBK"/>
          <w:b w:val="0"/>
          <w:bCs w:val="0"/>
          <w:snapToGrid w:val="0"/>
          <w:color w:val="000000"/>
          <w:kern w:val="0"/>
          <w:sz w:val="32"/>
          <w:szCs w:val="32"/>
        </w:rPr>
        <w:t>北山、白云鄂博和鄂尔多斯盆地西缘深部地质结构调查与成矿作用研究，获取深部成矿、成藏和地质信息，评价深部能源资源潜力，开拓深部找矿空间。</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rPr>
      </w:pPr>
      <w:bookmarkStart w:id="70" w:name="_Toc71813439"/>
      <w:bookmarkStart w:id="71" w:name="_Toc71799654"/>
      <w:r>
        <w:rPr>
          <w:rFonts w:hint="eastAsia" w:ascii="方正仿宋_GBK" w:hAnsi="方正仿宋_GBK"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rPr>
        <w:t>积极拓展服务领域</w:t>
      </w:r>
      <w:bookmarkEnd w:id="70"/>
      <w:bookmarkEnd w:id="71"/>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rPr>
        <w:t>在重要生态功能区、重要矿集区等典型区域开展生态地质调查，支撑服务国土空间规划和用途管制、</w:t>
      </w:r>
      <w:r>
        <w:rPr>
          <w:rFonts w:hint="eastAsia" w:ascii="方正仿宋_GBK" w:hAnsi="方正仿宋_GBK" w:eastAsia="方正仿宋_GBK" w:cs="方正仿宋_GBK"/>
          <w:b w:val="0"/>
          <w:bCs w:val="0"/>
          <w:snapToGrid w:val="0"/>
          <w:color w:val="000000"/>
          <w:spacing w:val="6"/>
          <w:kern w:val="0"/>
          <w:sz w:val="32"/>
        </w:rPr>
        <w:t>生态环境保护与修复。加强自治区东部耕地集中区、河套地区</w:t>
      </w:r>
      <w:r>
        <w:rPr>
          <w:rFonts w:hint="eastAsia" w:ascii="方正仿宋_GBK" w:hAnsi="方正仿宋_GBK" w:eastAsia="方正仿宋_GBK" w:cs="方正仿宋_GBK"/>
          <w:b w:val="0"/>
          <w:bCs w:val="0"/>
          <w:snapToGrid w:val="0"/>
          <w:color w:val="000000"/>
          <w:kern w:val="0"/>
          <w:sz w:val="32"/>
        </w:rPr>
        <w:t>1︰25万和1︰5万土地质量地球化学调查，基本摸清自治区粮食主产区耕地质量状况。加快完成呼包鄂城市群地质安全风险调查评价，查明地质背景和自然资源赋存条件，识别重大地质问题和风险，建立城市群地质安全风险评估方法体系；推动赤通“双子星”城市圈综合地质调查，查明城市国土空间范围内全要素地质指标和参数。</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rPr>
      </w:pPr>
      <w:bookmarkStart w:id="72" w:name="_Toc71813440"/>
      <w:bookmarkStart w:id="73" w:name="_Toc71799655"/>
      <w:r>
        <w:rPr>
          <w:rFonts w:hint="eastAsia" w:ascii="方正仿宋_GBK" w:hAnsi="方正仿宋_GBK" w:eastAsia="方正仿宋_GBK" w:cs="方正仿宋_GBK"/>
          <w:b w:val="0"/>
          <w:bCs w:val="0"/>
          <w:snapToGrid w:val="0"/>
          <w:color w:val="000000"/>
          <w:kern w:val="0"/>
          <w:sz w:val="32"/>
          <w:szCs w:val="32"/>
          <w:lang w:val="en-US" w:eastAsia="zh-CN"/>
        </w:rPr>
        <w:t>3.</w:t>
      </w:r>
      <w:r>
        <w:rPr>
          <w:rFonts w:hint="eastAsia" w:ascii="方正仿宋_GBK" w:hAnsi="方正仿宋_GBK" w:eastAsia="方正仿宋_GBK" w:cs="方正仿宋_GBK"/>
          <w:b w:val="0"/>
          <w:bCs w:val="0"/>
          <w:snapToGrid w:val="0"/>
          <w:color w:val="000000"/>
          <w:kern w:val="0"/>
          <w:sz w:val="32"/>
          <w:szCs w:val="32"/>
        </w:rPr>
        <w:t>开展能源矿产调查评价</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rPr>
        <w:t>在重要盆地推进常规油气和铀矿资源调查评价，力争</w:t>
      </w:r>
      <w:r>
        <w:rPr>
          <w:rFonts w:hint="eastAsia" w:ascii="方正仿宋_GBK" w:hAnsi="方正仿宋_GBK" w:eastAsia="方正仿宋_GBK" w:cs="方正仿宋_GBK"/>
          <w:b w:val="0"/>
          <w:bCs w:val="0"/>
          <w:snapToGrid w:val="0"/>
          <w:color w:val="000000"/>
          <w:kern w:val="0"/>
          <w:sz w:val="32"/>
          <w:lang w:eastAsia="zh-CN"/>
        </w:rPr>
        <w:t>取</w:t>
      </w:r>
      <w:r>
        <w:rPr>
          <w:rFonts w:hint="eastAsia" w:ascii="方正仿宋_GBK" w:hAnsi="方正仿宋_GBK" w:eastAsia="方正仿宋_GBK" w:cs="方正仿宋_GBK"/>
          <w:b w:val="0"/>
          <w:bCs w:val="0"/>
          <w:snapToGrid w:val="0"/>
          <w:color w:val="000000"/>
          <w:kern w:val="0"/>
          <w:sz w:val="32"/>
        </w:rPr>
        <w:t>得突破。以基本摸清全区地热资源家底为目标，开展地热资源潜力调查评价，科学推进水热型地热资源多领域利用，推广浅层地温能开发利用，加快建立清洁低碳的现代能源体系，助力生态文明建设。以摸清区内主要盆地非常规油气资源家底为目标，立足新区、新层系、新领域、新类型，在能源基地或大型含煤盆地积极推进页岩气、页岩油、煤层气、陆域天然气水合物、生物气等非常规油气资源调查评价和有利区优选，引导各类社会资本参与非常规油气资源的开发和利用，促进自治区能源消费转型升级和生态环境保护。</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FF0000"/>
          <w:kern w:val="0"/>
          <w:sz w:val="32"/>
        </w:rPr>
      </w:pPr>
      <w:r>
        <w:rPr>
          <w:rFonts w:hint="eastAsia" w:ascii="方正仿宋_GBK" w:hAnsi="方正仿宋_GBK" w:eastAsia="方正仿宋_GBK" w:cs="方正仿宋_GBK"/>
          <w:b w:val="0"/>
          <w:bCs w:val="0"/>
          <w:snapToGrid w:val="0"/>
          <w:color w:val="000000"/>
          <w:kern w:val="0"/>
          <w:sz w:val="32"/>
          <w:szCs w:val="32"/>
          <w:lang w:val="en-US" w:eastAsia="zh-CN"/>
        </w:rPr>
        <w:t>4.</w:t>
      </w:r>
      <w:r>
        <w:rPr>
          <w:rFonts w:hint="eastAsia" w:ascii="方正仿宋_GBK" w:hAnsi="方正仿宋_GBK" w:eastAsia="方正仿宋_GBK" w:cs="方正仿宋_GBK"/>
          <w:b w:val="0"/>
          <w:bCs w:val="0"/>
          <w:snapToGrid w:val="0"/>
          <w:color w:val="000000"/>
          <w:kern w:val="0"/>
          <w:sz w:val="32"/>
          <w:szCs w:val="32"/>
        </w:rPr>
        <w:t>加强重要矿产调查评价</w:t>
      </w:r>
      <w:bookmarkEnd w:id="72"/>
      <w:bookmarkEnd w:id="73"/>
      <w:r>
        <w:rPr>
          <w:rFonts w:hint="eastAsia" w:ascii="方正仿宋_GBK" w:hAnsi="方正仿宋_GBK" w:eastAsia="方正仿宋_GBK" w:cs="方正仿宋_GBK"/>
          <w:b w:val="0"/>
          <w:bCs w:val="0"/>
          <w:snapToGrid w:val="0"/>
          <w:color w:val="000000"/>
          <w:kern w:val="0"/>
          <w:sz w:val="32"/>
          <w:szCs w:val="32"/>
          <w:lang w:val="en-US" w:eastAsia="zh-CN"/>
        </w:rPr>
        <w:t>。</w:t>
      </w:r>
      <w:r>
        <w:rPr>
          <w:rFonts w:hint="eastAsia" w:ascii="方正仿宋_GBK" w:hAnsi="方正仿宋_GBK" w:eastAsia="方正仿宋_GBK" w:cs="方正仿宋_GBK"/>
          <w:b w:val="0"/>
          <w:bCs w:val="0"/>
          <w:snapToGrid w:val="0"/>
          <w:color w:val="000000"/>
          <w:kern w:val="0"/>
          <w:sz w:val="32"/>
        </w:rPr>
        <w:t>以重要矿集区、重要找矿远景区为重点，突出重要新兴矿产、大宗紧缺矿产调查，提高重要矿产的资源保障能力，支撑服务矿业绿色高质量发展。以锂、铷、铍、铌、钽、稀土等为主攻矿种，在自治区中部实施1︰2.5万综合地质调查和成矿规律及选区研究。以铜、金、锡等大宗紧缺矿产为主攻矿种，在额济纳</w:t>
      </w:r>
      <w:r>
        <w:rPr>
          <w:rFonts w:hint="eastAsia" w:ascii="方正仿宋_GBK" w:hAnsi="方正仿宋_GBK" w:eastAsia="方正仿宋_GBK" w:cs="方正仿宋_GBK"/>
          <w:b w:val="0"/>
          <w:bCs w:val="0"/>
          <w:snapToGrid w:val="0"/>
          <w:color w:val="000000"/>
          <w:kern w:val="0"/>
          <w:sz w:val="32"/>
          <w:lang w:eastAsia="zh-CN"/>
        </w:rPr>
        <w:t>旗</w:t>
      </w:r>
      <w:r>
        <w:rPr>
          <w:rFonts w:hint="eastAsia" w:ascii="方正仿宋_GBK" w:hAnsi="方正仿宋_GBK" w:eastAsia="方正仿宋_GBK" w:cs="方正仿宋_GBK"/>
          <w:b w:val="0"/>
          <w:bCs w:val="0"/>
          <w:snapToGrid w:val="0"/>
          <w:color w:val="000000"/>
          <w:kern w:val="0"/>
          <w:sz w:val="32"/>
        </w:rPr>
        <w:t>北山地区开展1︰2.5万综合地质调查和成矿规律研究及找矿预测。</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rPr>
      </w:pPr>
      <w:bookmarkStart w:id="74" w:name="_Toc71799657"/>
      <w:bookmarkStart w:id="75" w:name="_Toc71813442"/>
      <w:r>
        <w:rPr>
          <w:rFonts w:hint="eastAsia" w:ascii="方正仿宋_GBK" w:hAnsi="方正仿宋_GBK" w:eastAsia="方正仿宋_GBK" w:cs="方正仿宋_GBK"/>
          <w:b w:val="0"/>
          <w:bCs w:val="0"/>
          <w:snapToGrid w:val="0"/>
          <w:color w:val="000000"/>
          <w:kern w:val="0"/>
          <w:sz w:val="32"/>
          <w:szCs w:val="32"/>
          <w:lang w:val="en-US" w:eastAsia="zh-CN"/>
        </w:rPr>
        <w:t>5.</w:t>
      </w:r>
      <w:r>
        <w:rPr>
          <w:rFonts w:hint="eastAsia" w:ascii="方正仿宋_GBK" w:hAnsi="方正仿宋_GBK" w:eastAsia="方正仿宋_GBK" w:cs="方正仿宋_GBK"/>
          <w:b w:val="0"/>
          <w:bCs w:val="0"/>
          <w:snapToGrid w:val="0"/>
          <w:color w:val="000000"/>
          <w:kern w:val="0"/>
          <w:sz w:val="32"/>
          <w:szCs w:val="32"/>
        </w:rPr>
        <w:t>提高地质调查科技创新水平</w:t>
      </w:r>
      <w:bookmarkEnd w:id="74"/>
      <w:bookmarkEnd w:id="75"/>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rPr>
        <w:t>推进内蒙古自治区“地质云”分节点建设，推动地质大数据共享，提升地质调查水平和决策支持能力。大力推动自治区岩浆活动成矿与找矿重点实验室建设，积极争取国家和自治区支持，充分发挥重点实验室凝聚高端创新人才、</w:t>
      </w:r>
      <w:r>
        <w:rPr>
          <w:rFonts w:hint="eastAsia" w:ascii="方正仿宋_GBK" w:hAnsi="方正仿宋_GBK" w:eastAsia="方正仿宋_GBK" w:cs="方正仿宋_GBK"/>
          <w:b w:val="0"/>
          <w:bCs w:val="0"/>
          <w:snapToGrid w:val="0"/>
          <w:color w:val="000000"/>
          <w:spacing w:val="6"/>
          <w:kern w:val="0"/>
          <w:sz w:val="32"/>
        </w:rPr>
        <w:t>承担重大创新任务和实施科研体制机制改革的创新高地作用</w:t>
      </w:r>
      <w:r>
        <w:rPr>
          <w:rFonts w:hint="eastAsia" w:ascii="方正仿宋_GBK" w:hAnsi="方正仿宋_GBK" w:eastAsia="方正仿宋_GBK" w:cs="方正仿宋_GBK"/>
          <w:b w:val="0"/>
          <w:bCs w:val="0"/>
          <w:snapToGrid w:val="0"/>
          <w:color w:val="000000"/>
          <w:kern w:val="0"/>
          <w:sz w:val="32"/>
        </w:rPr>
        <w:t>。</w:t>
      </w:r>
    </w:p>
    <w:p>
      <w:pPr>
        <w:keepNext w:val="0"/>
        <w:keepLines w:val="0"/>
        <w:pageBreakBefore w:val="0"/>
        <w:widowControl w:val="0"/>
        <w:kinsoku/>
        <w:wordWrap/>
        <w:overflowPunct/>
        <w:topLinePunct/>
        <w:autoSpaceDE/>
        <w:autoSpaceDN/>
        <w:bidi w:val="0"/>
        <w:adjustRightInd/>
        <w:spacing w:line="580" w:lineRule="exact"/>
        <w:ind w:firstLine="640"/>
        <w:jc w:val="both"/>
        <w:textAlignment w:val="auto"/>
        <w:rPr>
          <w:rFonts w:hint="eastAsia" w:ascii="方正仿宋_GBK" w:hAnsi="方正仿宋_GBK" w:eastAsia="方正仿宋_GBK" w:cs="方正仿宋_GBK"/>
          <w:b w:val="0"/>
          <w:bCs w:val="0"/>
          <w:color w:val="000000"/>
          <w:sz w:val="32"/>
        </w:rPr>
      </w:pPr>
    </w:p>
    <w:p>
      <w:pPr>
        <w:keepNext w:val="0"/>
        <w:keepLines w:val="0"/>
        <w:pageBreakBefore w:val="0"/>
        <w:widowControl w:val="0"/>
        <w:kinsoku/>
        <w:wordWrap/>
        <w:overflowPunct/>
        <w:topLinePunct/>
        <w:autoSpaceDE/>
        <w:autoSpaceDN/>
        <w:bidi w:val="0"/>
        <w:adjustRightInd/>
        <w:spacing w:line="580" w:lineRule="exact"/>
        <w:ind w:firstLine="640"/>
        <w:jc w:val="both"/>
        <w:textAlignment w:val="auto"/>
        <w:rPr>
          <w:rFonts w:hint="eastAsia" w:ascii="方正仿宋_GBK" w:hAnsi="方正仿宋_GBK" w:eastAsia="方正仿宋_GBK" w:cs="方正仿宋_GBK"/>
          <w:b w:val="0"/>
          <w:bCs w:val="0"/>
          <w:color w:val="000000"/>
          <w:sz w:val="32"/>
        </w:rPr>
      </w:pP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76" w:name="_Toc90371306"/>
      <w:bookmarkStart w:id="77" w:name="_Toc69226997"/>
      <w:bookmarkStart w:id="78" w:name="_Toc71799469"/>
      <w:r>
        <w:rPr>
          <w:rFonts w:hint="eastAsia" w:ascii="方正楷体_GBK" w:hAnsi="方正楷体_GBK" w:eastAsia="方正楷体_GBK" w:cs="方正楷体_GBK"/>
          <w:b w:val="0"/>
          <w:bCs w:val="0"/>
          <w:color w:val="000000"/>
        </w:rPr>
        <w:t>第二节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稳步开展矿产资源勘查</w:t>
      </w:r>
      <w:bookmarkEnd w:id="76"/>
      <w:bookmarkEnd w:id="77"/>
      <w:bookmarkEnd w:id="78"/>
    </w:p>
    <w:p>
      <w:pPr>
        <w:keepNext w:val="0"/>
        <w:keepLines w:val="0"/>
        <w:pageBreakBefore w:val="0"/>
        <w:widowControl w:val="0"/>
        <w:kinsoku/>
        <w:wordWrap/>
        <w:overflowPunct/>
        <w:topLinePunct/>
        <w:autoSpaceDE/>
        <w:autoSpaceDN/>
        <w:bidi w:val="0"/>
        <w:adjustRightInd/>
        <w:snapToGrid w:val="0"/>
        <w:spacing w:line="600" w:lineRule="exact"/>
        <w:ind w:firstLine="640" w:firstLineChars="200"/>
        <w:jc w:val="both"/>
        <w:textAlignment w:val="auto"/>
        <w:outlineLvl w:val="2"/>
        <w:rPr>
          <w:rFonts w:hint="eastAsia" w:ascii="方正仿宋_GBK" w:hAnsi="方正仿宋_GBK" w:eastAsia="方正仿宋_GBK" w:cs="方正仿宋_GBK"/>
          <w:b w:val="0"/>
          <w:bCs w:val="0"/>
          <w:snapToGrid w:val="0"/>
          <w:color w:val="000000"/>
          <w:kern w:val="0"/>
          <w:sz w:val="32"/>
          <w:szCs w:val="32"/>
        </w:rPr>
      </w:pPr>
      <w:bookmarkStart w:id="79" w:name="_Toc71799659"/>
      <w:bookmarkStart w:id="80" w:name="_Toc71813444"/>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矿产资源勘查方向</w:t>
      </w:r>
      <w:bookmarkEnd w:id="79"/>
      <w:bookmarkEnd w:id="80"/>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color w:val="000000"/>
          <w:sz w:val="32"/>
          <w:szCs w:val="32"/>
        </w:rPr>
        <w:t>重点勘查石油、富铁矿、铜、金等紧缺矿产和稀有、稀散矿产，加</w:t>
      </w:r>
      <w:r>
        <w:rPr>
          <w:rFonts w:hint="eastAsia" w:ascii="方正仿宋_GBK" w:hAnsi="方正仿宋_GBK" w:eastAsia="方正仿宋_GBK" w:cs="方正仿宋_GBK"/>
          <w:b w:val="0"/>
          <w:bCs w:val="0"/>
          <w:color w:val="000000"/>
          <w:sz w:val="32"/>
          <w:szCs w:val="32"/>
          <w:lang w:eastAsia="zh-CN"/>
        </w:rPr>
        <w:t>大</w:t>
      </w:r>
      <w:r>
        <w:rPr>
          <w:rFonts w:hint="eastAsia" w:ascii="方正仿宋_GBK" w:hAnsi="方正仿宋_GBK" w:eastAsia="方正仿宋_GBK" w:cs="方正仿宋_GBK"/>
          <w:b w:val="0"/>
          <w:bCs w:val="0"/>
          <w:color w:val="000000"/>
          <w:sz w:val="32"/>
          <w:szCs w:val="32"/>
        </w:rPr>
        <w:t>重要矿产深部勘查。加强铀、页岩气、煤层气、地热等非常规能源勘查力度；稳步推进主要盆地煤层气勘查。限制勘查对环境破坏较大的砂金矿产，原则上不再新立此类矿产的勘查项目，确需新立的，必须通过环境影响评</w:t>
      </w:r>
      <w:r>
        <w:rPr>
          <w:rFonts w:hint="eastAsia" w:ascii="方正仿宋_GBK" w:hAnsi="方正仿宋_GBK" w:eastAsia="方正仿宋_GBK" w:cs="方正仿宋_GBK"/>
          <w:b w:val="0"/>
          <w:bCs w:val="0"/>
          <w:color w:val="000000"/>
          <w:sz w:val="32"/>
          <w:szCs w:val="32"/>
          <w:lang w:eastAsia="zh-CN"/>
        </w:rPr>
        <w:t>价</w:t>
      </w:r>
      <w:r>
        <w:rPr>
          <w:rFonts w:hint="eastAsia" w:ascii="方正仿宋_GBK" w:hAnsi="方正仿宋_GBK" w:eastAsia="方正仿宋_GBK" w:cs="方正仿宋_GBK"/>
          <w:b w:val="0"/>
          <w:bCs w:val="0"/>
          <w:color w:val="000000"/>
          <w:sz w:val="32"/>
          <w:szCs w:val="32"/>
        </w:rPr>
        <w:t>，并征得</w:t>
      </w:r>
      <w:r>
        <w:rPr>
          <w:rFonts w:hint="eastAsia" w:ascii="方正仿宋_GBK" w:hAnsi="方正仿宋_GBK" w:eastAsia="方正仿宋_GBK" w:cs="方正仿宋_GBK"/>
          <w:b w:val="0"/>
          <w:bCs w:val="0"/>
          <w:color w:val="000000"/>
          <w:sz w:val="32"/>
          <w:szCs w:val="32"/>
          <w:lang w:eastAsia="zh-CN"/>
        </w:rPr>
        <w:t>生态环境</w:t>
      </w:r>
      <w:r>
        <w:rPr>
          <w:rFonts w:hint="eastAsia" w:ascii="方正仿宋_GBK" w:hAnsi="方正仿宋_GBK" w:eastAsia="方正仿宋_GBK" w:cs="方正仿宋_GBK"/>
          <w:b w:val="0"/>
          <w:bCs w:val="0"/>
          <w:color w:val="000000"/>
          <w:sz w:val="32"/>
          <w:szCs w:val="32"/>
        </w:rPr>
        <w:t>部门同意。禁止勘查</w:t>
      </w:r>
      <w:r>
        <w:rPr>
          <w:rFonts w:hint="eastAsia" w:ascii="方正仿宋_GBK" w:hAnsi="方正仿宋_GBK" w:eastAsia="方正仿宋_GBK" w:cs="方正仿宋_GBK"/>
          <w:b w:val="0"/>
          <w:bCs w:val="0"/>
          <w:snapToGrid w:val="0"/>
          <w:color w:val="000000"/>
          <w:kern w:val="0"/>
          <w:sz w:val="32"/>
          <w:szCs w:val="32"/>
        </w:rPr>
        <w:t>超贫磁铁矿。</w:t>
      </w:r>
      <w:bookmarkStart w:id="81" w:name="_Toc71799660"/>
      <w:bookmarkStart w:id="82" w:name="_Toc71813445"/>
      <w:bookmarkStart w:id="83" w:name="_Toc60502799"/>
    </w:p>
    <w:p>
      <w:pPr>
        <w:keepNext w:val="0"/>
        <w:keepLines w:val="0"/>
        <w:pageBreakBefore w:val="0"/>
        <w:widowControl w:val="0"/>
        <w:kinsoku/>
        <w:wordWrap/>
        <w:overflowPunct/>
        <w:topLinePunct/>
        <w:autoSpaceDE/>
        <w:autoSpaceDN/>
        <w:bidi w:val="0"/>
        <w:adjustRightInd/>
        <w:snapToGrid w:val="0"/>
        <w:spacing w:line="60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szCs w:val="32"/>
          <w:lang w:eastAsia="zh-CN"/>
        </w:rPr>
      </w:pPr>
      <w:r>
        <w:rPr>
          <w:rFonts w:hint="eastAsia" w:ascii="方正仿宋_GBK" w:hAnsi="方正仿宋_GBK"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rPr>
        <w:t>加强矿产资源勘查</w:t>
      </w:r>
      <w:r>
        <w:rPr>
          <w:rFonts w:hint="eastAsia" w:ascii="方正仿宋_GBK" w:hAnsi="方正仿宋_GBK" w:eastAsia="方正仿宋_GBK" w:cs="方正仿宋_GBK"/>
          <w:b w:val="0"/>
          <w:bCs w:val="0"/>
          <w:snapToGrid w:val="0"/>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val="0"/>
        <w:spacing w:line="600" w:lineRule="exact"/>
        <w:ind w:firstLine="640" w:firstLineChars="0"/>
        <w:jc w:val="both"/>
        <w:textAlignment w:val="auto"/>
        <w:outlineLvl w:val="2"/>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提高煤炭资源储量级别。加快大型成煤矿区煤炭勘探，为煤炭基地建设提交一批可供大中型矿井利用的资源储量，提高鄂尔多斯</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等区域内的煤炭国家规划矿区资源储量级别，提升资源接续能力。对于鄂尔多斯盆地等重要矿产聚集区内叠置的矿产，探索建立综合勘查、综合研究、统一部署的协调机制，鼓励推进煤、铀兼探兼采，促进勘查成果共享。</w:t>
      </w:r>
      <w:r>
        <w:rPr>
          <w:rFonts w:hint="eastAsia" w:ascii="方正仿宋_GBK" w:hAnsi="方正仿宋_GBK" w:eastAsia="方正仿宋_GBK" w:cs="方正仿宋_GBK"/>
          <w:b w:val="0"/>
          <w:bCs w:val="0"/>
          <w:color w:val="000000"/>
          <w:spacing w:val="6"/>
          <w:sz w:val="32"/>
          <w:szCs w:val="32"/>
        </w:rPr>
        <w:t>加强锗、铝等煤系共伴生资源的综合评价</w:t>
      </w:r>
      <w:r>
        <w:rPr>
          <w:rFonts w:hint="eastAsia" w:ascii="方正仿宋_GBK" w:hAnsi="方正仿宋_GBK" w:eastAsia="方正仿宋_GBK" w:cs="方正仿宋_GBK"/>
          <w:b w:val="0"/>
          <w:bCs w:val="0"/>
          <w:color w:val="000000"/>
          <w:spacing w:val="6"/>
          <w:sz w:val="32"/>
          <w:szCs w:val="32"/>
          <w:lang w:eastAsia="zh-CN"/>
        </w:rPr>
        <w:t>、</w:t>
      </w:r>
      <w:r>
        <w:rPr>
          <w:rFonts w:hint="eastAsia" w:ascii="方正仿宋_GBK" w:hAnsi="方正仿宋_GBK" w:eastAsia="方正仿宋_GBK" w:cs="方正仿宋_GBK"/>
          <w:b w:val="0"/>
          <w:bCs w:val="0"/>
          <w:color w:val="000000"/>
          <w:spacing w:val="6"/>
          <w:sz w:val="32"/>
          <w:szCs w:val="32"/>
        </w:rPr>
        <w:t>综合勘查，促进资源优质优用、梯级利用、综合利用。</w:t>
      </w:r>
    </w:p>
    <w:p>
      <w:pPr>
        <w:keepNext w:val="0"/>
        <w:keepLines w:val="0"/>
        <w:pageBreakBefore w:val="0"/>
        <w:widowControl w:val="0"/>
        <w:kinsoku/>
        <w:wordWrap/>
        <w:overflowPunct/>
        <w:topLinePunct/>
        <w:autoSpaceDE/>
        <w:autoSpaceDN/>
        <w:bidi w:val="0"/>
        <w:adjustRightInd/>
        <w:snapToGrid w:val="0"/>
        <w:spacing w:line="600" w:lineRule="exact"/>
        <w:ind w:firstLine="566" w:firstLineChars="177"/>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加大煤层气勘查。加大鄂尔多斯盆地东缘、海拉尔盆地、二连盆地（群）煤层气资源勘查力度，实现煤层气突破，为煤层气规模开发、产业化发展奠定基础。逐步加强中西部地区贺兰山煤田、黑山煤田和高头窑矿区煤层气勘查。</w:t>
      </w:r>
    </w:p>
    <w:p>
      <w:pPr>
        <w:keepNext w:val="0"/>
        <w:keepLines w:val="0"/>
        <w:pageBreakBefore w:val="0"/>
        <w:widowControl w:val="0"/>
        <w:kinsoku/>
        <w:wordWrap/>
        <w:overflowPunct/>
        <w:topLinePunct/>
        <w:autoSpaceDE/>
        <w:autoSpaceDN/>
        <w:bidi w:val="0"/>
        <w:adjustRightInd/>
        <w:snapToGrid w:val="0"/>
        <w:spacing w:line="600" w:lineRule="exact"/>
        <w:ind w:firstLine="566" w:firstLineChars="177"/>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推进地热资源勘查</w:t>
      </w:r>
      <w:r>
        <w:rPr>
          <w:rFonts w:hint="eastAsia" w:ascii="方正仿宋_GBK" w:hAnsi="方正仿宋_GBK" w:eastAsia="方正仿宋_GBK" w:cs="方正仿宋_GBK"/>
          <w:b w:val="0"/>
          <w:bCs w:val="0"/>
          <w:color w:val="000000"/>
          <w:sz w:val="32"/>
          <w:szCs w:val="32"/>
        </w:rPr>
        <w:t>。结合自治区重大建设项目、重点产业发展规划，围绕自治区城乡建设总体布局及重点城镇、新型城镇化建设、新农村建设、文化旅游等景区建设，在呼包鄂等有地热资源开发前景但又存在一定风险的地区进行预可行性勘查，以勘查促开发，促进沉积盆地地热能开发利用。</w:t>
      </w:r>
    </w:p>
    <w:p>
      <w:pPr>
        <w:keepNext w:val="0"/>
        <w:keepLines w:val="0"/>
        <w:pageBreakBefore w:val="0"/>
        <w:widowControl w:val="0"/>
        <w:kinsoku/>
        <w:wordWrap/>
        <w:overflowPunct/>
        <w:topLinePunct/>
        <w:autoSpaceDE/>
        <w:autoSpaceDN/>
        <w:bidi w:val="0"/>
        <w:adjustRightInd/>
        <w:snapToGrid w:val="0"/>
        <w:spacing w:line="580" w:lineRule="exact"/>
        <w:ind w:firstLine="566" w:firstLineChars="177"/>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实现非能源矿产找矿突破。加大重点勘查区探矿权投放力度，完善风险勘查市场，鼓励社会资本参与矿产勘查，勘查重点平面上由东向西转移。</w:t>
      </w:r>
      <w:r>
        <w:rPr>
          <w:rFonts w:hint="eastAsia" w:ascii="方正仿宋_GBK" w:hAnsi="方正仿宋_GBK" w:eastAsia="方正仿宋_GBK" w:cs="方正仿宋_GBK"/>
          <w:b w:val="0"/>
          <w:bCs w:val="0"/>
          <w:color w:val="000000"/>
          <w:spacing w:val="0"/>
          <w:sz w:val="32"/>
          <w:szCs w:val="32"/>
        </w:rPr>
        <w:t>聚焦铁、铜、金等紧缺金属矿产，在额济纳</w:t>
      </w:r>
      <w:r>
        <w:rPr>
          <w:rFonts w:hint="eastAsia" w:ascii="方正仿宋_GBK" w:hAnsi="方正仿宋_GBK" w:eastAsia="方正仿宋_GBK" w:cs="方正仿宋_GBK"/>
          <w:b w:val="0"/>
          <w:bCs w:val="0"/>
          <w:color w:val="000000"/>
          <w:spacing w:val="0"/>
          <w:sz w:val="32"/>
          <w:szCs w:val="32"/>
          <w:lang w:eastAsia="zh-CN"/>
        </w:rPr>
        <w:t>旗</w:t>
      </w:r>
      <w:r>
        <w:rPr>
          <w:rFonts w:hint="eastAsia" w:ascii="方正仿宋_GBK" w:hAnsi="方正仿宋_GBK" w:eastAsia="方正仿宋_GBK" w:cs="方正仿宋_GBK"/>
          <w:b w:val="0"/>
          <w:bCs w:val="0"/>
          <w:color w:val="000000"/>
          <w:spacing w:val="0"/>
          <w:sz w:val="32"/>
          <w:szCs w:val="32"/>
        </w:rPr>
        <w:t>北山地区主要找矿靶区以及有找矿前景的地区开展矿产勘查，取得找矿新突破，</w:t>
      </w:r>
      <w:r>
        <w:rPr>
          <w:rFonts w:hint="eastAsia" w:ascii="方正仿宋_GBK" w:hAnsi="方正仿宋_GBK" w:eastAsia="方正仿宋_GBK" w:cs="方正仿宋_GBK"/>
          <w:b w:val="0"/>
          <w:bCs w:val="0"/>
          <w:color w:val="000000"/>
          <w:spacing w:val="6"/>
          <w:sz w:val="32"/>
          <w:szCs w:val="32"/>
        </w:rPr>
        <w:t>探获新增资源储量。以铌、钽、稀土、锂铷等“三稀”矿产为主攻矿种，加大四子王旗脑木更南、苏尼特左旗巴彦哈尔敖包、克什克腾旗隆勒毛敦、克什克腾旗巴彦查干、鄂伦春自治旗防火外站等地区勘查力度。开展铅、锌、银、萤石、晶质石墨等优势矿产勘查，提高资源储量级别，保持资源优势。</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lang w:val="en-US" w:eastAsia="zh-CN"/>
        </w:rPr>
        <w:t>3.</w:t>
      </w:r>
      <w:r>
        <w:rPr>
          <w:rFonts w:hint="eastAsia" w:ascii="方正仿宋_GBK" w:hAnsi="方正仿宋_GBK" w:eastAsia="方正仿宋_GBK" w:cs="方正仿宋_GBK"/>
          <w:b w:val="0"/>
          <w:bCs w:val="0"/>
          <w:snapToGrid w:val="0"/>
          <w:color w:val="000000"/>
          <w:kern w:val="0"/>
          <w:sz w:val="32"/>
          <w:szCs w:val="32"/>
        </w:rPr>
        <w:t>实施深部矿产勘查</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color w:val="000000"/>
          <w:sz w:val="32"/>
          <w:szCs w:val="32"/>
        </w:rPr>
        <w:t>加强老矿山深部及外围找矿示范，积极推动阿拉善</w:t>
      </w:r>
      <w:r>
        <w:rPr>
          <w:rFonts w:hint="eastAsia" w:ascii="方正仿宋_GBK" w:hAnsi="方正仿宋_GBK" w:eastAsia="方正仿宋_GBK" w:cs="方正仿宋_GBK"/>
          <w:b w:val="0"/>
          <w:bCs w:val="0"/>
          <w:color w:val="000000"/>
          <w:sz w:val="32"/>
          <w:szCs w:val="32"/>
          <w:lang w:eastAsia="zh-CN"/>
        </w:rPr>
        <w:t>盟</w:t>
      </w:r>
      <w:r>
        <w:rPr>
          <w:rFonts w:hint="eastAsia" w:ascii="方正仿宋_GBK" w:hAnsi="方正仿宋_GBK" w:eastAsia="方正仿宋_GBK" w:cs="方正仿宋_GBK"/>
          <w:b w:val="0"/>
          <w:bCs w:val="0"/>
          <w:color w:val="000000"/>
          <w:sz w:val="32"/>
          <w:szCs w:val="32"/>
        </w:rPr>
        <w:t>北山、巴彦淖尔市北部、包头市、乌兰察布市、赤峰市等地区老矿区攻深找盲、探边摸底，实现增储上产。加强深部矿产资源勘查科技引领，推进深部勘查新方法和新技术的研发应用，推广适合深部找矿的物化探等技术方法。结合矿山深部和外围找矿新发现，开展典型矿床的成矿机理研究，指导矿山深部和外围找矿。</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kern w:val="0"/>
          <w:sz w:val="32"/>
          <w:szCs w:val="32"/>
          <w:lang w:val="en-US" w:eastAsia="zh-CN"/>
        </w:rPr>
        <w:t>4.</w:t>
      </w:r>
      <w:r>
        <w:rPr>
          <w:rFonts w:hint="eastAsia" w:ascii="方正仿宋_GBK" w:hAnsi="方正仿宋_GBK" w:eastAsia="方正仿宋_GBK" w:cs="方正仿宋_GBK"/>
          <w:b w:val="0"/>
          <w:bCs w:val="0"/>
          <w:snapToGrid w:val="0"/>
          <w:kern w:val="0"/>
          <w:sz w:val="32"/>
          <w:szCs w:val="32"/>
        </w:rPr>
        <w:t>积极推进绿色勘查</w:t>
      </w:r>
      <w:r>
        <w:rPr>
          <w:rFonts w:hint="eastAsia" w:ascii="方正仿宋_GBK" w:hAnsi="方正仿宋_GBK" w:eastAsia="方正仿宋_GBK" w:cs="方正仿宋_GBK"/>
          <w:b w:val="0"/>
          <w:bCs w:val="0"/>
          <w:snapToGrid w:val="0"/>
          <w:kern w:val="0"/>
          <w:sz w:val="32"/>
          <w:szCs w:val="32"/>
          <w:lang w:eastAsia="zh-CN"/>
        </w:rPr>
        <w:t>。</w:t>
      </w:r>
      <w:r>
        <w:rPr>
          <w:rFonts w:hint="eastAsia" w:ascii="方正仿宋_GBK" w:hAnsi="方正仿宋_GBK" w:eastAsia="方正仿宋_GBK" w:cs="方正仿宋_GBK"/>
          <w:b w:val="0"/>
          <w:bCs w:val="0"/>
          <w:color w:val="000000"/>
          <w:sz w:val="32"/>
          <w:szCs w:val="32"/>
        </w:rPr>
        <w:t>把生态环境保护理念贯穿于勘查项目立项、设计、实施、恢复和验收全过程</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实施勘查时充分考虑“地质、经济、技术、环境”四要素及区域资源环境承载力，采用生态友好型的勘查方法和手段，减少对生态环境的影响和破坏。项目承担单位要执行绿色勘查技术要求，项目主体单位负责跟踪督导和检查，自然资源主管部门要开展“双随机</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一公开”质量检查。继续实施绿色勘查示范项目，推动绿色勘查示范项目成功经验和成熟模式总结上升为制度，推动建立新时代绿色勘查管理制度和标准规范体系，更好地指导和推动全区绿色勘查工作。加强对共伴生矿产的综合勘查评价。</w:t>
      </w:r>
    </w:p>
    <w:bookmarkEnd w:id="81"/>
    <w:bookmarkEnd w:id="82"/>
    <w:bookmarkEnd w:id="83"/>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84" w:name="_Toc60502795"/>
      <w:bookmarkStart w:id="85" w:name="_Toc69226998"/>
      <w:bookmarkStart w:id="86" w:name="_Toc71799470"/>
      <w:bookmarkStart w:id="87" w:name="_Toc90371307"/>
      <w:r>
        <w:rPr>
          <w:rFonts w:hint="eastAsia" w:ascii="方正楷体_GBK" w:hAnsi="方正楷体_GBK" w:eastAsia="方正楷体_GBK" w:cs="方正楷体_GBK"/>
          <w:b w:val="0"/>
          <w:bCs w:val="0"/>
          <w:color w:val="000000"/>
        </w:rPr>
        <w:t>第三节</w:t>
      </w:r>
      <w:bookmarkEnd w:id="84"/>
      <w:bookmarkEnd w:id="85"/>
      <w:bookmarkEnd w:id="86"/>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加强矿产资源勘查管理</w:t>
      </w:r>
      <w:bookmarkEnd w:id="87"/>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严格勘查规划区块设置</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自治区负责划定重要矿产的勘查规划区块</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盟市负责划定其他矿产的勘查规划区块，且不得与自治区划定勘查规划区块重叠。勘查规划区块必须符合国家法律法规和相关产业政策，有利于矿区的整体勘查评价和整体开发。勘查规划区块面积不得小于</w:t>
      </w:r>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个基本单位区块，</w:t>
      </w:r>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个勘查规划区块原则上只设</w:t>
      </w:r>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个勘查主体。</w:t>
      </w:r>
    </w:p>
    <w:p>
      <w:pPr>
        <w:keepNext w:val="0"/>
        <w:keepLines w:val="0"/>
        <w:pageBreakBefore w:val="0"/>
        <w:widowControl w:val="0"/>
        <w:kinsoku/>
        <w:wordWrap/>
        <w:overflowPunct/>
        <w:topLinePunct/>
        <w:autoSpaceDE/>
        <w:autoSpaceDN/>
        <w:bidi w:val="0"/>
        <w:adjustRightInd/>
        <w:snapToGrid w:val="0"/>
        <w:spacing w:line="580" w:lineRule="exact"/>
        <w:jc w:val="center"/>
        <w:textAlignment w:val="auto"/>
        <w:outlineLvl w:val="2"/>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专栏4</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rPr>
        <w:t>自治区勘查规划区块</w:t>
      </w:r>
    </w:p>
    <w:p>
      <w:pPr>
        <w:keepNext w:val="0"/>
        <w:keepLines w:val="0"/>
        <w:pageBreakBefore w:val="0"/>
        <w:widowControl w:val="0"/>
        <w:kinsoku/>
        <w:wordWrap/>
        <w:overflowPunct/>
        <w:topLinePunct/>
        <w:autoSpaceDE/>
        <w:autoSpaceDN/>
        <w:bidi w:val="0"/>
        <w:adjustRightInd/>
        <w:snapToGrid w:val="0"/>
        <w:spacing w:line="200" w:lineRule="exact"/>
        <w:jc w:val="center"/>
        <w:textAlignment w:val="auto"/>
        <w:outlineLvl w:val="2"/>
        <w:rPr>
          <w:rFonts w:hint="eastAsia" w:ascii="方正黑体_GBK" w:hAnsi="方正黑体_GBK" w:eastAsia="方正黑体_GBK" w:cs="方正黑体_GBK"/>
          <w:b w:val="0"/>
          <w:bCs w:val="0"/>
          <w:color w:val="000000"/>
          <w:sz w:val="32"/>
          <w:szCs w:val="32"/>
        </w:rPr>
      </w:pPr>
    </w:p>
    <w:tbl>
      <w:tblPr>
        <w:tblStyle w:val="1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2899"/>
        <w:gridCol w:w="2294"/>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blHeader/>
          <w:jc w:val="center"/>
        </w:trPr>
        <w:tc>
          <w:tcPr>
            <w:tcW w:w="1687" w:type="dxa"/>
            <w:noWrap w:val="0"/>
            <w:vAlign w:val="center"/>
          </w:tcPr>
          <w:p>
            <w:pPr>
              <w:snapToGrid w:val="0"/>
              <w:spacing w:line="240" w:lineRule="auto"/>
              <w:ind w:left="560" w:firstLine="0" w:firstLineChars="0"/>
              <w:jc w:val="center"/>
              <w:rPr>
                <w:rFonts w:hint="eastAsia" w:ascii="黑体" w:hAnsi="黑体" w:eastAsia="黑体" w:cs="黑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矿</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种</w:t>
            </w:r>
          </w:p>
        </w:tc>
        <w:tc>
          <w:tcPr>
            <w:tcW w:w="2294" w:type="dxa"/>
            <w:noWrap w:val="0"/>
            <w:vAlign w:val="center"/>
          </w:tcPr>
          <w:p>
            <w:pPr>
              <w:snapToGrid w:val="0"/>
              <w:spacing w:line="240" w:lineRule="auto"/>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数量（个）</w:t>
            </w:r>
          </w:p>
        </w:tc>
        <w:tc>
          <w:tcPr>
            <w:tcW w:w="2294" w:type="dxa"/>
            <w:noWrap w:val="0"/>
            <w:vAlign w:val="center"/>
          </w:tcPr>
          <w:p>
            <w:pPr>
              <w:snapToGrid w:val="0"/>
              <w:spacing w:line="240" w:lineRule="auto"/>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面积（平方千米）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687" w:type="dxa"/>
            <w:vMerge w:val="restart"/>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能源矿产</w:t>
            </w:r>
          </w:p>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（19个）</w:t>
            </w: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煤</w:t>
            </w:r>
            <w:r>
              <w:rPr>
                <w:rFonts w:hint="eastAsia" w:ascii="宋体" w:hAnsi="宋体" w:eastAsia="宋体" w:cs="宋体"/>
                <w:b w:val="0"/>
                <w:bCs w:val="0"/>
                <w:color w:val="000000"/>
                <w:sz w:val="24"/>
                <w:lang w:val="en-US" w:eastAsia="zh-CN"/>
              </w:rPr>
              <w:t xml:space="preserve">  </w:t>
            </w:r>
            <w:r>
              <w:rPr>
                <w:rFonts w:hint="eastAsia" w:ascii="宋体" w:hAnsi="宋体" w:eastAsia="宋体" w:cs="宋体"/>
                <w:b w:val="0"/>
                <w:bCs w:val="0"/>
                <w:color w:val="000000"/>
                <w:sz w:val="24"/>
              </w:rPr>
              <w:t>炭</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16</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915.3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68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煤层气</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1737.7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restart"/>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金属矿产</w:t>
            </w:r>
          </w:p>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（355个）</w:t>
            </w: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铁</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58</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1149.7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锰</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4</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铬多金属</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2</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铜多金属</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108</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3900.2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镍多金属</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锡多金属</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2</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钼多金属</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11</w:t>
            </w:r>
          </w:p>
        </w:tc>
        <w:tc>
          <w:tcPr>
            <w:tcW w:w="2294" w:type="dxa"/>
            <w:noWrap w:val="0"/>
            <w:vAlign w:val="center"/>
          </w:tcPr>
          <w:p>
            <w:pPr>
              <w:widowControl/>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锑多金属</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多金属</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53</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1890.5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金多金属</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111</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3957.4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铌多金属</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2</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restart"/>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非金属矿产</w:t>
            </w:r>
          </w:p>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（29个）</w:t>
            </w: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普通萤石</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25</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left="560"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磷</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687" w:type="dxa"/>
            <w:vMerge w:val="continue"/>
            <w:noWrap w:val="0"/>
            <w:vAlign w:val="center"/>
          </w:tcPr>
          <w:p>
            <w:pPr>
              <w:snapToGrid w:val="0"/>
              <w:spacing w:line="240" w:lineRule="auto"/>
              <w:ind w:left="560" w:firstLine="0" w:firstLineChars="0"/>
              <w:jc w:val="center"/>
              <w:rPr>
                <w:rFonts w:hint="eastAsia" w:ascii="宋体" w:hAnsi="宋体" w:eastAsia="宋体" w:cs="宋体"/>
                <w:b w:val="0"/>
                <w:bCs w:val="0"/>
                <w:color w:val="000000"/>
                <w:sz w:val="24"/>
              </w:rPr>
            </w:pPr>
          </w:p>
        </w:tc>
        <w:tc>
          <w:tcPr>
            <w:tcW w:w="2899"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晶质石墨</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w:t>
            </w:r>
          </w:p>
        </w:tc>
        <w:tc>
          <w:tcPr>
            <w:tcW w:w="2294" w:type="dxa"/>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45.6</w:t>
            </w:r>
          </w:p>
        </w:tc>
      </w:tr>
    </w:tbl>
    <w:p>
      <w:pPr>
        <w:keepNext w:val="0"/>
        <w:keepLines w:val="0"/>
        <w:pageBreakBefore w:val="0"/>
        <w:widowControl w:val="0"/>
        <w:kinsoku/>
        <w:wordWrap/>
        <w:overflowPunct/>
        <w:topLinePunct w:val="0"/>
        <w:autoSpaceDE/>
        <w:autoSpaceDN/>
        <w:bidi w:val="0"/>
        <w:adjustRightInd/>
        <w:snapToGrid w:val="0"/>
        <w:spacing w:line="160" w:lineRule="exact"/>
        <w:ind w:firstLine="641"/>
        <w:textAlignment w:val="auto"/>
        <w:rPr>
          <w:rFonts w:hint="eastAsia" w:ascii="方正仿宋_GBK" w:hAnsi="方正仿宋_GBK" w:eastAsia="方正仿宋_GBK" w:cs="方正仿宋_GBK"/>
          <w:b w:val="0"/>
          <w:bCs w:val="0"/>
          <w:color w:val="000000"/>
          <w:sz w:val="32"/>
          <w:szCs w:val="32"/>
        </w:rPr>
      </w:pPr>
    </w:p>
    <w:p>
      <w:pPr>
        <w:keepNext w:val="0"/>
        <w:keepLines w:val="0"/>
        <w:pageBreakBefore w:val="0"/>
        <w:widowControl w:val="0"/>
        <w:kinsoku/>
        <w:wordWrap/>
        <w:overflowPunct/>
        <w:topLinePunct/>
        <w:autoSpaceDE/>
        <w:autoSpaceDN/>
        <w:bidi w:val="0"/>
        <w:snapToGrid w:val="0"/>
        <w:spacing w:line="580" w:lineRule="exact"/>
        <w:ind w:firstLine="640"/>
        <w:jc w:val="both"/>
        <w:textAlignment w:val="auto"/>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color w:val="000000"/>
          <w:sz w:val="32"/>
          <w:szCs w:val="32"/>
        </w:rPr>
        <w:t>为引导探矿权合理设置，本级规划期设置勘查规划区块403个，规划面积1.5万平方千米。勘查规划区块位于能源资源基地内46个</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位于国家规划矿区内41个，位于重点勘查区内159个。</w:t>
      </w:r>
    </w:p>
    <w:p>
      <w:pPr>
        <w:keepNext w:val="0"/>
        <w:keepLines w:val="0"/>
        <w:pageBreakBefore w:val="0"/>
        <w:widowControl w:val="0"/>
        <w:kinsoku/>
        <w:wordWrap/>
        <w:overflowPunct/>
        <w:topLinePunct/>
        <w:autoSpaceDE/>
        <w:autoSpaceDN/>
        <w:bidi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szCs w:val="32"/>
        </w:rPr>
      </w:pPr>
      <w:bookmarkStart w:id="88" w:name="_Toc60502801"/>
      <w:r>
        <w:rPr>
          <w:rFonts w:hint="eastAsia" w:ascii="方正仿宋_GBK" w:hAnsi="方正仿宋_GBK"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rPr>
        <w:t>规范探矿权管理</w:t>
      </w:r>
      <w:r>
        <w:rPr>
          <w:rFonts w:hint="eastAsia" w:ascii="方正仿宋_GBK" w:hAnsi="方正仿宋_GBK" w:eastAsia="方正仿宋_GBK" w:cs="方正仿宋_GBK"/>
          <w:b w:val="0"/>
          <w:bCs w:val="0"/>
          <w:snapToGrid w:val="0"/>
          <w:color w:val="000000"/>
          <w:kern w:val="0"/>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5B9BD5"/>
          <w:kern w:val="0"/>
          <w:sz w:val="32"/>
          <w:szCs w:val="32"/>
        </w:rPr>
      </w:pPr>
      <w:r>
        <w:rPr>
          <w:rFonts w:hint="eastAsia" w:ascii="方正仿宋_GBK" w:hAnsi="方正仿宋_GBK" w:eastAsia="方正仿宋_GBK" w:cs="方正仿宋_GBK"/>
          <w:b w:val="0"/>
          <w:bCs w:val="0"/>
          <w:snapToGrid w:val="0"/>
          <w:color w:val="000000"/>
          <w:kern w:val="0"/>
          <w:sz w:val="32"/>
          <w:szCs w:val="32"/>
        </w:rPr>
        <w:t>规范探矿权设置。</w:t>
      </w:r>
      <w:r>
        <w:rPr>
          <w:rFonts w:hint="eastAsia" w:ascii="方正仿宋_GBK" w:hAnsi="方正仿宋_GBK" w:eastAsia="方正仿宋_GBK" w:cs="方正仿宋_GBK"/>
          <w:b w:val="0"/>
          <w:bCs w:val="0"/>
          <w:sz w:val="32"/>
          <w:szCs w:val="32"/>
        </w:rPr>
        <w:t>严格落实国土空间“三区三线”管控要求，</w:t>
      </w:r>
      <w:r>
        <w:rPr>
          <w:rFonts w:hint="eastAsia" w:ascii="方正仿宋_GBK" w:hAnsi="方正仿宋_GBK" w:eastAsia="方正仿宋_GBK" w:cs="方正仿宋_GBK"/>
          <w:b w:val="0"/>
          <w:bCs w:val="0"/>
          <w:snapToGrid w:val="0"/>
          <w:color w:val="000000"/>
          <w:kern w:val="0"/>
          <w:sz w:val="32"/>
          <w:szCs w:val="32"/>
        </w:rPr>
        <w:t>按照国家、自治区关于勘查管理的相关要求，规范探矿权的设置，按照政府规划指导、市场有效需求和勘查工作进展需要，有序投放探矿权。财政出资</w:t>
      </w:r>
      <w:r>
        <w:rPr>
          <w:rFonts w:hint="eastAsia" w:ascii="方正仿宋_GBK" w:hAnsi="方正仿宋_GBK" w:eastAsia="方正仿宋_GBK" w:cs="方正仿宋_GBK"/>
          <w:b w:val="0"/>
          <w:bCs w:val="0"/>
          <w:snapToGrid w:val="0"/>
          <w:color w:val="000000"/>
          <w:kern w:val="0"/>
          <w:sz w:val="32"/>
          <w:szCs w:val="32"/>
          <w:lang w:eastAsia="zh-CN"/>
        </w:rPr>
        <w:t>的</w:t>
      </w:r>
      <w:r>
        <w:rPr>
          <w:rFonts w:hint="eastAsia" w:ascii="方正仿宋_GBK" w:hAnsi="方正仿宋_GBK" w:eastAsia="方正仿宋_GBK" w:cs="方正仿宋_GBK"/>
          <w:b w:val="0"/>
          <w:bCs w:val="0"/>
          <w:snapToGrid w:val="0"/>
          <w:color w:val="000000"/>
          <w:kern w:val="0"/>
          <w:sz w:val="32"/>
          <w:szCs w:val="32"/>
        </w:rPr>
        <w:t>地质勘查项目不再设置探矿权，凭项目任务书开展地质勘查工作。</w:t>
      </w:r>
    </w:p>
    <w:p>
      <w:pPr>
        <w:pStyle w:val="6"/>
        <w:keepNext w:val="0"/>
        <w:keepLines w:val="0"/>
        <w:pageBreakBefore w:val="0"/>
        <w:widowControl w:val="0"/>
        <w:kinsoku/>
        <w:wordWrap/>
        <w:overflowPunct/>
        <w:topLinePunct/>
        <w:autoSpaceDE/>
        <w:autoSpaceDN/>
        <w:bidi w:val="0"/>
        <w:snapToGrid w:val="0"/>
        <w:spacing w:line="580" w:lineRule="exact"/>
        <w:ind w:left="0" w:leftChars="0" w:firstLine="640" w:firstLineChars="20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严格矿业权出让管理。调整矿业权出让登记管理权限，自治区负责除自然资源部出让登记以外其他重要矿产的矿业权出让、登记。推进矿业权竞争性出让，</w:t>
      </w:r>
      <w:r>
        <w:rPr>
          <w:rFonts w:hint="eastAsia" w:ascii="方正仿宋_GBK" w:hAnsi="方正仿宋_GBK" w:eastAsia="方正仿宋_GBK" w:cs="方正仿宋_GBK"/>
          <w:b w:val="0"/>
          <w:bCs w:val="0"/>
          <w:color w:val="000000"/>
          <w:sz w:val="32"/>
          <w:szCs w:val="32"/>
        </w:rPr>
        <w:t>矿业权应以招标、拍卖、挂牌方式公开竞争出让，国家规定的协议出让情形除外。</w:t>
      </w:r>
      <w:r>
        <w:rPr>
          <w:rFonts w:hint="eastAsia" w:ascii="方正仿宋_GBK" w:hAnsi="方正仿宋_GBK" w:eastAsia="方正仿宋_GBK" w:cs="方正仿宋_GBK"/>
          <w:b w:val="0"/>
          <w:bCs w:val="0"/>
          <w:snapToGrid w:val="0"/>
          <w:color w:val="000000"/>
          <w:kern w:val="0"/>
          <w:sz w:val="32"/>
          <w:szCs w:val="32"/>
        </w:rPr>
        <w:t>协议出让矿业权范围严格控制在国务院批准的重点建设项目。</w:t>
      </w:r>
    </w:p>
    <w:p>
      <w:pPr>
        <w:pStyle w:val="6"/>
        <w:keepNext w:val="0"/>
        <w:keepLines w:val="0"/>
        <w:pageBreakBefore w:val="0"/>
        <w:widowControl w:val="0"/>
        <w:kinsoku/>
        <w:wordWrap/>
        <w:overflowPunct/>
        <w:topLinePunct/>
        <w:autoSpaceDE/>
        <w:autoSpaceDN/>
        <w:bidi w:val="0"/>
        <w:snapToGrid w:val="0"/>
        <w:spacing w:line="580" w:lineRule="exact"/>
        <w:ind w:left="0" w:lef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napToGrid w:val="0"/>
          <w:color w:val="000000"/>
          <w:kern w:val="0"/>
          <w:sz w:val="32"/>
          <w:szCs w:val="32"/>
        </w:rPr>
        <w:t>强化地质勘查监督管理</w:t>
      </w:r>
      <w:r>
        <w:rPr>
          <w:rFonts w:hint="eastAsia" w:ascii="方正仿宋_GBK" w:hAnsi="方正仿宋_GBK" w:eastAsia="方正仿宋_GBK" w:cs="方正仿宋_GBK"/>
          <w:b w:val="0"/>
          <w:bCs w:val="0"/>
          <w:snapToGrid w:val="0"/>
          <w:kern w:val="0"/>
          <w:sz w:val="32"/>
          <w:szCs w:val="32"/>
        </w:rPr>
        <w:t>。</w:t>
      </w:r>
      <w:r>
        <w:rPr>
          <w:rFonts w:hint="eastAsia" w:ascii="方正仿宋_GBK" w:hAnsi="方正仿宋_GBK" w:eastAsia="方正仿宋_GBK" w:cs="方正仿宋_GBK"/>
          <w:b w:val="0"/>
          <w:bCs w:val="0"/>
          <w:sz w:val="32"/>
          <w:szCs w:val="32"/>
        </w:rPr>
        <w:t>不断完善地质勘查资质审批取消后地质勘查活动的事中、事后监管，加大监督检查力度，接受政府主管部门及社会监督。</w:t>
      </w:r>
      <w:r>
        <w:rPr>
          <w:rFonts w:hint="eastAsia" w:ascii="方正仿宋_GBK" w:hAnsi="方正仿宋_GBK" w:eastAsia="方正仿宋_GBK" w:cs="方正仿宋_GBK"/>
          <w:b w:val="0"/>
          <w:bCs w:val="0"/>
          <w:snapToGrid w:val="0"/>
          <w:kern w:val="0"/>
          <w:sz w:val="32"/>
          <w:szCs w:val="32"/>
        </w:rPr>
        <w:t>启用“地质勘查行业监管服务平台”，组织地质勘查单位开展信息填报及公示。</w:t>
      </w:r>
      <w:r>
        <w:rPr>
          <w:rFonts w:hint="eastAsia" w:ascii="方正仿宋_GBK" w:hAnsi="方正仿宋_GBK" w:eastAsia="方正仿宋_GBK" w:cs="方正仿宋_GBK"/>
          <w:b w:val="0"/>
          <w:bCs w:val="0"/>
          <w:sz w:val="32"/>
          <w:szCs w:val="32"/>
        </w:rPr>
        <w:t>建立监督检查对象名录库和监督检查人员名录库，按照“双随机、一公开”的方式，开展监督检查，每年抽查比例不低于检查对象名录库总数的5%。加强地质勘查单位异常名录和严重失信主体名单管理，在财政出资项目安排、授予荣誉奖励等工作中，对纳入异常名录的予以限制，对纳入严重失信主体名单的应依法予以禁入。</w:t>
      </w:r>
      <w:r>
        <w:rPr>
          <w:rFonts w:hint="eastAsia" w:ascii="方正仿宋_GBK" w:hAnsi="方正仿宋_GBK" w:eastAsia="方正仿宋_GBK" w:cs="方正仿宋_GBK"/>
          <w:b w:val="0"/>
          <w:bCs w:val="0"/>
          <w:sz w:val="32"/>
          <w:szCs w:val="32"/>
          <w:lang w:eastAsia="zh-CN"/>
        </w:rPr>
        <w:t>盟</w:t>
      </w:r>
      <w:r>
        <w:rPr>
          <w:rFonts w:hint="eastAsia" w:ascii="方正仿宋_GBK" w:hAnsi="方正仿宋_GBK" w:eastAsia="方正仿宋_GBK" w:cs="方正仿宋_GBK"/>
          <w:b w:val="0"/>
          <w:bCs w:val="0"/>
          <w:sz w:val="32"/>
          <w:szCs w:val="32"/>
        </w:rPr>
        <w:t>市</w:t>
      </w:r>
      <w:r>
        <w:rPr>
          <w:rFonts w:hint="eastAsia" w:ascii="方正仿宋_GBK" w:hAnsi="方正仿宋_GBK" w:eastAsia="方正仿宋_GBK" w:cs="方正仿宋_GBK"/>
          <w:b w:val="0"/>
          <w:bCs w:val="0"/>
          <w:sz w:val="32"/>
          <w:szCs w:val="32"/>
          <w:lang w:eastAsia="zh-CN"/>
        </w:rPr>
        <w:t>、旗</w:t>
      </w:r>
      <w:r>
        <w:rPr>
          <w:rFonts w:hint="eastAsia" w:ascii="方正仿宋_GBK" w:hAnsi="方正仿宋_GBK" w:eastAsia="方正仿宋_GBK" w:cs="方正仿宋_GBK"/>
          <w:b w:val="0"/>
          <w:bCs w:val="0"/>
          <w:sz w:val="32"/>
          <w:szCs w:val="32"/>
        </w:rPr>
        <w:t>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自然资源主管部门</w:t>
      </w:r>
      <w:r>
        <w:rPr>
          <w:rFonts w:hint="eastAsia" w:ascii="方正仿宋_GBK" w:hAnsi="方正仿宋_GBK" w:eastAsia="方正仿宋_GBK" w:cs="方正仿宋_GBK"/>
          <w:b w:val="0"/>
          <w:bCs w:val="0"/>
          <w:sz w:val="32"/>
          <w:szCs w:val="32"/>
          <w:lang w:eastAsia="zh-CN"/>
        </w:rPr>
        <w:t>加大</w:t>
      </w:r>
      <w:r>
        <w:rPr>
          <w:rFonts w:hint="eastAsia" w:ascii="方正仿宋_GBK" w:hAnsi="方正仿宋_GBK" w:eastAsia="方正仿宋_GBK" w:cs="方正仿宋_GBK"/>
          <w:b w:val="0"/>
          <w:bCs w:val="0"/>
          <w:sz w:val="32"/>
          <w:szCs w:val="32"/>
        </w:rPr>
        <w:t>矿产资源勘查、开采监管力度，对本行政</w:t>
      </w:r>
      <w:r>
        <w:rPr>
          <w:rFonts w:hint="eastAsia" w:ascii="方正仿宋_GBK" w:hAnsi="方正仿宋_GBK" w:eastAsia="方正仿宋_GBK" w:cs="方正仿宋_GBK"/>
          <w:b w:val="0"/>
          <w:bCs w:val="0"/>
          <w:sz w:val="32"/>
          <w:szCs w:val="32"/>
          <w:lang w:eastAsia="zh-CN"/>
        </w:rPr>
        <w:t>区域</w:t>
      </w:r>
      <w:r>
        <w:rPr>
          <w:rFonts w:hint="eastAsia" w:ascii="方正仿宋_GBK" w:hAnsi="方正仿宋_GBK" w:eastAsia="方正仿宋_GBK" w:cs="方正仿宋_GBK"/>
          <w:b w:val="0"/>
          <w:bCs w:val="0"/>
          <w:sz w:val="32"/>
          <w:szCs w:val="32"/>
        </w:rPr>
        <w:t>内矿产资源储量进行管理，对矿山地质环境进行监督管理，对违法勘查开采行为</w:t>
      </w:r>
      <w:r>
        <w:rPr>
          <w:rFonts w:hint="eastAsia" w:ascii="方正仿宋_GBK" w:hAnsi="方正仿宋_GBK" w:eastAsia="方正仿宋_GBK" w:cs="方正仿宋_GBK"/>
          <w:b w:val="0"/>
          <w:bCs w:val="0"/>
          <w:sz w:val="32"/>
          <w:szCs w:val="32"/>
          <w:lang w:eastAsia="zh-CN"/>
        </w:rPr>
        <w:t>依法依规</w:t>
      </w:r>
      <w:r>
        <w:rPr>
          <w:rFonts w:hint="eastAsia" w:ascii="方正仿宋_GBK" w:hAnsi="方正仿宋_GBK" w:eastAsia="方正仿宋_GBK" w:cs="方正仿宋_GBK"/>
          <w:b w:val="0"/>
          <w:bCs w:val="0"/>
          <w:sz w:val="32"/>
          <w:szCs w:val="32"/>
        </w:rPr>
        <w:t>实施行政处罚。</w:t>
      </w:r>
    </w:p>
    <w:p>
      <w:pPr>
        <w:pStyle w:val="6"/>
        <w:keepNext w:val="0"/>
        <w:keepLines w:val="0"/>
        <w:pageBreakBefore w:val="0"/>
        <w:widowControl w:val="0"/>
        <w:kinsoku/>
        <w:wordWrap/>
        <w:overflowPunct/>
        <w:topLinePunct/>
        <w:autoSpaceDE/>
        <w:autoSpaceDN/>
        <w:bidi w:val="0"/>
        <w:snapToGrid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napToGrid w:val="0"/>
          <w:color w:val="000000"/>
          <w:kern w:val="0"/>
          <w:sz w:val="32"/>
          <w:szCs w:val="32"/>
        </w:rPr>
        <w:t>完善探矿权退出机制。探矿权人自身对勘查许可证有效期届满前未按要求申请延续登记的，</w:t>
      </w:r>
      <w:r>
        <w:rPr>
          <w:rFonts w:hint="eastAsia" w:ascii="方正仿宋_GBK" w:hAnsi="方正仿宋_GBK" w:eastAsia="方正仿宋_GBK" w:cs="方正仿宋_GBK"/>
          <w:b w:val="0"/>
          <w:bCs w:val="0"/>
          <w:sz w:val="32"/>
          <w:szCs w:val="32"/>
        </w:rPr>
        <w:t>由负责出让登记的自然资源主管部门纳入已自行废止矿业权名单，并向社会公告。每年12月底前，负责出让登记的自然资源主管部门通过矿业权统一配号系统完成本级审批登记的有效矿业权确认，并</w:t>
      </w:r>
      <w:r>
        <w:rPr>
          <w:rFonts w:hint="eastAsia" w:ascii="方正仿宋_GBK" w:hAnsi="方正仿宋_GBK" w:eastAsia="方正仿宋_GBK" w:cs="方正仿宋_GBK"/>
          <w:b w:val="0"/>
          <w:bCs w:val="0"/>
          <w:sz w:val="32"/>
          <w:szCs w:val="32"/>
          <w:lang w:eastAsia="zh-CN"/>
        </w:rPr>
        <w:t>在</w:t>
      </w:r>
      <w:r>
        <w:rPr>
          <w:rFonts w:hint="eastAsia" w:ascii="方正仿宋_GBK" w:hAnsi="方正仿宋_GBK" w:eastAsia="方正仿宋_GBK" w:cs="方正仿宋_GBK"/>
          <w:b w:val="0"/>
          <w:bCs w:val="0"/>
          <w:sz w:val="32"/>
          <w:szCs w:val="32"/>
        </w:rPr>
        <w:t>自然资源部</w:t>
      </w:r>
      <w:r>
        <w:rPr>
          <w:rFonts w:hint="eastAsia" w:ascii="方正仿宋_GBK" w:hAnsi="方正仿宋_GBK" w:eastAsia="方正仿宋_GBK" w:cs="方正仿宋_GBK"/>
          <w:b w:val="0"/>
          <w:bCs w:val="0"/>
          <w:sz w:val="32"/>
          <w:szCs w:val="32"/>
          <w:lang w:eastAsia="zh-CN"/>
        </w:rPr>
        <w:t>门</w:t>
      </w:r>
      <w:r>
        <w:rPr>
          <w:rFonts w:hint="eastAsia" w:ascii="方正仿宋_GBK" w:hAnsi="方正仿宋_GBK" w:eastAsia="方正仿宋_GBK" w:cs="方正仿宋_GBK"/>
          <w:b w:val="0"/>
          <w:bCs w:val="0"/>
          <w:sz w:val="32"/>
          <w:szCs w:val="32"/>
        </w:rPr>
        <w:t>网站向社会公开，实现登记发证有效矿业权基本信息公告常态化管理。勘查许可证剩余有效期不足</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个月的，矿业权登记机关可在本级或上级机关门户网站上滚动提醒。</w:t>
      </w:r>
    </w:p>
    <w:p>
      <w:pPr>
        <w:keepNext w:val="0"/>
        <w:keepLines w:val="0"/>
        <w:pageBreakBefore w:val="0"/>
        <w:widowControl w:val="0"/>
        <w:kinsoku/>
        <w:wordWrap/>
        <w:overflowPunct/>
        <w:topLinePunct/>
        <w:autoSpaceDE/>
        <w:autoSpaceDN/>
        <w:bidi w:val="0"/>
        <w:snapToGrid w:val="0"/>
        <w:spacing w:line="580" w:lineRule="exact"/>
        <w:ind w:firstLine="640"/>
        <w:jc w:val="both"/>
        <w:textAlignment w:val="auto"/>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snapToGrid w:val="0"/>
          <w:color w:val="000000"/>
          <w:kern w:val="0"/>
          <w:sz w:val="32"/>
          <w:szCs w:val="32"/>
        </w:rPr>
        <w:t>强化矿产资源储量管理</w:t>
      </w:r>
      <w:r>
        <w:rPr>
          <w:rFonts w:hint="eastAsia" w:ascii="方正仿宋_GBK" w:hAnsi="方正仿宋_GBK" w:eastAsia="方正仿宋_GBK" w:cs="方正仿宋_GBK"/>
          <w:b w:val="0"/>
          <w:bCs w:val="0"/>
          <w:snapToGrid w:val="0"/>
          <w:kern w:val="0"/>
          <w:sz w:val="32"/>
          <w:szCs w:val="32"/>
        </w:rPr>
        <w:t>。开展矿产资源国情调查，全面清理和重构矿产资源储量数据库，夯实管理基础。完善矿产资源储量评审备案相关制度，进一步简化评审备案工作程序，提高效率、把控质量。加强对</w:t>
      </w:r>
      <w:r>
        <w:rPr>
          <w:rFonts w:hint="eastAsia" w:ascii="方正仿宋_GBK" w:hAnsi="方正仿宋_GBK" w:eastAsia="方正仿宋_GBK" w:cs="方正仿宋_GBK"/>
          <w:b w:val="0"/>
          <w:bCs w:val="0"/>
          <w:snapToGrid w:val="0"/>
          <w:kern w:val="0"/>
          <w:sz w:val="32"/>
          <w:szCs w:val="32"/>
          <w:lang w:eastAsia="zh-CN"/>
        </w:rPr>
        <w:t>盟</w:t>
      </w:r>
      <w:r>
        <w:rPr>
          <w:rFonts w:hint="eastAsia" w:ascii="方正仿宋_GBK" w:hAnsi="方正仿宋_GBK" w:eastAsia="方正仿宋_GBK" w:cs="方正仿宋_GBK"/>
          <w:b w:val="0"/>
          <w:bCs w:val="0"/>
          <w:snapToGrid w:val="0"/>
          <w:kern w:val="0"/>
          <w:sz w:val="32"/>
          <w:szCs w:val="32"/>
        </w:rPr>
        <w:t>市矿产资源储量评审备案工作的指导和质量管控，加强储量统计监控，全面提升储量统计质量。</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color w:val="000000"/>
          <w:sz w:val="32"/>
          <w:szCs w:val="32"/>
        </w:rPr>
      </w:pPr>
      <w:bookmarkStart w:id="89" w:name="_Toc71799471"/>
      <w:bookmarkStart w:id="90" w:name="_Toc69226999"/>
      <w:bookmarkStart w:id="91" w:name="_Toc90371308"/>
      <w:r>
        <w:rPr>
          <w:rFonts w:hint="eastAsia" w:ascii="方正黑体_GBK" w:hAnsi="方正黑体_GBK" w:eastAsia="方正黑体_GBK" w:cs="方正黑体_GBK"/>
          <w:b w:val="0"/>
          <w:bCs w:val="0"/>
          <w:color w:val="000000"/>
          <w:sz w:val="32"/>
          <w:szCs w:val="32"/>
        </w:rPr>
        <w:t>第五章</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rPr>
        <w:t>矿产资源保护与开发利用</w:t>
      </w:r>
      <w:bookmarkEnd w:id="88"/>
      <w:bookmarkEnd w:id="89"/>
      <w:bookmarkEnd w:id="90"/>
      <w:bookmarkEnd w:id="91"/>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92" w:name="_Toc60502802"/>
      <w:bookmarkStart w:id="93" w:name="_Toc71799472"/>
      <w:bookmarkStart w:id="94" w:name="_Toc69227000"/>
      <w:bookmarkStart w:id="95" w:name="_Toc90371309"/>
      <w:r>
        <w:rPr>
          <w:rFonts w:hint="eastAsia" w:ascii="方正楷体_GBK" w:hAnsi="方正楷体_GBK" w:eastAsia="方正楷体_GBK" w:cs="方正楷体_GBK"/>
          <w:b w:val="0"/>
          <w:bCs w:val="0"/>
          <w:color w:val="000000"/>
        </w:rPr>
        <w:t>第一节</w:t>
      </w:r>
      <w:bookmarkEnd w:id="92"/>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持续开展矿产资源差别化管控</w:t>
      </w:r>
      <w:bookmarkEnd w:id="93"/>
      <w:bookmarkEnd w:id="94"/>
      <w:bookmarkEnd w:id="95"/>
    </w:p>
    <w:p>
      <w:pPr>
        <w:keepNext w:val="0"/>
        <w:keepLines w:val="0"/>
        <w:pageBreakBefore w:val="0"/>
        <w:widowControl w:val="0"/>
        <w:kinsoku/>
        <w:wordWrap/>
        <w:overflowPunct/>
        <w:topLinePunct/>
        <w:autoSpaceDE/>
        <w:autoSpaceDN/>
        <w:bidi w:val="0"/>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szCs w:val="32"/>
          <w:lang w:val="en-US" w:eastAsia="zh-CN"/>
        </w:rPr>
      </w:pPr>
      <w:bookmarkStart w:id="96" w:name="_Toc71813452"/>
      <w:bookmarkStart w:id="97" w:name="_Toc71799667"/>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矿产资源开采方向</w:t>
      </w:r>
      <w:bookmarkEnd w:id="96"/>
      <w:bookmarkEnd w:id="97"/>
      <w:r>
        <w:rPr>
          <w:rFonts w:hint="eastAsia" w:ascii="方正仿宋_GBK" w:hAnsi="方正仿宋_GBK" w:eastAsia="方正仿宋_GBK" w:cs="方正仿宋_GBK"/>
          <w:b w:val="0"/>
          <w:bCs w:val="0"/>
          <w:snapToGrid w:val="0"/>
          <w:color w:val="000000"/>
          <w:kern w:val="0"/>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重点开采煤炭、石油、天然气、铀矿、地热、富铁、铜、镍、铬、锰、金及优质高效非金属矿产，在符合准入条件下，适度扩大开发规模，提高资源供应能力；加快推进煤炭、煤层气一体化开发利用。</w:t>
      </w:r>
    </w:p>
    <w:p>
      <w:pPr>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方正仿宋_GBK" w:hAnsi="方正仿宋_GBK" w:eastAsia="方正仿宋_GBK" w:cs="方正仿宋_GBK"/>
          <w:b w:val="0"/>
          <w:bCs w:val="0"/>
          <w:color w:val="000000"/>
        </w:rPr>
      </w:pPr>
      <w:r>
        <w:rPr>
          <w:rFonts w:hint="eastAsia" w:ascii="方正仿宋_GBK" w:hAnsi="方正仿宋_GBK" w:eastAsia="方正仿宋_GBK" w:cs="方正仿宋_GBK"/>
          <w:b w:val="0"/>
          <w:bCs w:val="0"/>
          <w:color w:val="000000"/>
          <w:sz w:val="32"/>
          <w:szCs w:val="32"/>
        </w:rPr>
        <w:t>限制开采湿地泥炭以及砂金、砂铁等重砂矿物。稀土和钨矿产进行总量调控，按照国家下达的开采总量控制指标生产。</w:t>
      </w:r>
    </w:p>
    <w:p>
      <w:pPr>
        <w:keepNext w:val="0"/>
        <w:keepLines w:val="0"/>
        <w:pageBreakBefore w:val="0"/>
        <w:widowControl w:val="0"/>
        <w:kinsoku/>
        <w:wordWrap/>
        <w:overflowPunct/>
        <w:topLinePunct/>
        <w:autoSpaceDE/>
        <w:autoSpaceDN/>
        <w:bidi w:val="0"/>
        <w:adjustRightInd w:val="0"/>
        <w:snapToGrid w:val="0"/>
        <w:spacing w:line="550" w:lineRule="exact"/>
        <w:ind w:firstLine="641"/>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禁止开采超贫磁铁矿、蓝石棉、可耕地的砖瓦用粘土</w:t>
      </w:r>
      <w:r>
        <w:rPr>
          <w:rFonts w:hint="eastAsia" w:ascii="方正仿宋_GBK" w:hAnsi="方正仿宋_GBK" w:eastAsia="方正仿宋_GBK" w:cs="方正仿宋_GBK"/>
          <w:b w:val="0"/>
          <w:bCs w:val="0"/>
          <w:color w:val="000000"/>
          <w:sz w:val="32"/>
          <w:szCs w:val="32"/>
          <w:lang w:eastAsia="zh-CN"/>
        </w:rPr>
        <w:t>等</w:t>
      </w:r>
      <w:r>
        <w:rPr>
          <w:rFonts w:hint="eastAsia" w:ascii="方正仿宋_GBK" w:hAnsi="方正仿宋_GBK" w:eastAsia="方正仿宋_GBK" w:cs="方正仿宋_GBK"/>
          <w:b w:val="0"/>
          <w:bCs w:val="0"/>
          <w:color w:val="000000"/>
          <w:sz w:val="32"/>
          <w:szCs w:val="32"/>
        </w:rPr>
        <w:t>对生态环境影响较大的矿产。不新建汞矿山，禁止开采砷和放射性等有毒有害物质超过规定标准的煤炭项目。</w:t>
      </w:r>
    </w:p>
    <w:p>
      <w:pPr>
        <w:keepNext w:val="0"/>
        <w:keepLines w:val="0"/>
        <w:pageBreakBefore w:val="0"/>
        <w:widowControl w:val="0"/>
        <w:kinsoku/>
        <w:wordWrap/>
        <w:overflowPunct/>
        <w:topLinePunct/>
        <w:autoSpaceDE/>
        <w:autoSpaceDN/>
        <w:bidi w:val="0"/>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szCs w:val="32"/>
          <w:lang w:val="en-US" w:eastAsia="zh-CN"/>
        </w:rPr>
      </w:pPr>
      <w:bookmarkStart w:id="98" w:name="_Toc71813453"/>
      <w:bookmarkStart w:id="99" w:name="_Toc71799668"/>
      <w:r>
        <w:rPr>
          <w:rFonts w:hint="eastAsia" w:ascii="方正仿宋_GBK" w:hAnsi="方正仿宋_GBK"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rPr>
        <w:t>加强矿种差别化管控</w:t>
      </w:r>
      <w:bookmarkEnd w:id="98"/>
      <w:bookmarkEnd w:id="99"/>
      <w:r>
        <w:rPr>
          <w:rFonts w:hint="eastAsia" w:ascii="方正仿宋_GBK" w:hAnsi="方正仿宋_GBK" w:eastAsia="方正仿宋_GBK" w:cs="方正仿宋_GBK"/>
          <w:b w:val="0"/>
          <w:bCs w:val="0"/>
          <w:snapToGrid w:val="0"/>
          <w:color w:val="000000"/>
          <w:kern w:val="0"/>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80" w:lineRule="exact"/>
        <w:ind w:firstLine="641"/>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color w:val="000000"/>
          <w:sz w:val="32"/>
          <w:szCs w:val="32"/>
        </w:rPr>
        <w:t>推动煤炭绿色开发。</w:t>
      </w:r>
      <w:r>
        <w:rPr>
          <w:rFonts w:hint="eastAsia" w:ascii="方正仿宋_GBK" w:hAnsi="方正仿宋_GBK" w:eastAsia="方正仿宋_GBK" w:cs="方正仿宋_GBK"/>
          <w:b w:val="0"/>
          <w:bCs w:val="0"/>
          <w:sz w:val="32"/>
          <w:szCs w:val="32"/>
        </w:rPr>
        <w:t>围绕重要能源资源基地建设，发挥煤炭供应基地的重要作用，优化提升鄂尔多斯</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煤炭产能，</w:t>
      </w:r>
      <w:r>
        <w:rPr>
          <w:rFonts w:hint="eastAsia" w:ascii="方正仿宋_GBK" w:hAnsi="方正仿宋_GBK" w:eastAsia="方正仿宋_GBK" w:cs="方正仿宋_GBK"/>
          <w:b w:val="0"/>
          <w:bCs w:val="0"/>
          <w:color w:val="000000"/>
          <w:sz w:val="32"/>
          <w:szCs w:val="32"/>
        </w:rPr>
        <w:t>在鄂尔多斯</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新建一批现代化大型煤矿，120万吨</w:t>
      </w:r>
      <w:r>
        <w:rPr>
          <w:rFonts w:hint="eastAsia" w:ascii="方正仿宋_GBK" w:hAnsi="方正仿宋_GBK" w:eastAsia="方正仿宋_GBK" w:cs="方正仿宋_GBK"/>
          <w:b w:val="0"/>
          <w:bCs w:val="0"/>
          <w:sz w:val="32"/>
          <w:szCs w:val="32"/>
        </w:rPr>
        <w:t>/年及</w:t>
      </w:r>
      <w:r>
        <w:rPr>
          <w:rFonts w:hint="eastAsia" w:ascii="方正仿宋_GBK" w:hAnsi="方正仿宋_GBK" w:eastAsia="方正仿宋_GBK" w:cs="方正仿宋_GBK"/>
          <w:b w:val="0"/>
          <w:bCs w:val="0"/>
          <w:color w:val="000000"/>
          <w:sz w:val="32"/>
          <w:szCs w:val="32"/>
        </w:rPr>
        <w:t>以上煤矿产能占比达到92%，积极推动鄂尔多斯</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多矿种叠置的矿产资源综合利用，</w:t>
      </w:r>
      <w:r>
        <w:rPr>
          <w:rFonts w:hint="eastAsia" w:ascii="方正仿宋_GBK" w:hAnsi="方正仿宋_GBK" w:eastAsia="方正仿宋_GBK" w:cs="方正仿宋_GBK"/>
          <w:b w:val="0"/>
          <w:bCs w:val="0"/>
          <w:sz w:val="32"/>
          <w:szCs w:val="32"/>
        </w:rPr>
        <w:t>实现煤炭、天然气等多种资源共采，</w:t>
      </w:r>
      <w:r>
        <w:rPr>
          <w:rFonts w:hint="eastAsia" w:ascii="方正仿宋_GBK" w:hAnsi="方正仿宋_GBK" w:eastAsia="方正仿宋_GBK" w:cs="方正仿宋_GBK"/>
          <w:b w:val="0"/>
          <w:bCs w:val="0"/>
          <w:color w:val="000000"/>
          <w:sz w:val="32"/>
          <w:szCs w:val="32"/>
        </w:rPr>
        <w:t>开展“采煤采气一体化”合作开发等方式；</w:t>
      </w:r>
      <w:r>
        <w:rPr>
          <w:rFonts w:hint="eastAsia" w:ascii="方正仿宋_GBK" w:hAnsi="方正仿宋_GBK" w:eastAsia="方正仿宋_GBK" w:cs="方正仿宋_GBK"/>
          <w:b w:val="0"/>
          <w:bCs w:val="0"/>
          <w:sz w:val="32"/>
          <w:szCs w:val="32"/>
        </w:rPr>
        <w:t>稳定呼伦贝尔</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、通辽</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、赤峰</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、锡林郭勒盟等地区煤炭产能；保护性开采乌海</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、阿拉善</w:t>
      </w:r>
      <w:r>
        <w:rPr>
          <w:rFonts w:hint="eastAsia" w:ascii="方正仿宋_GBK" w:hAnsi="方正仿宋_GBK" w:eastAsia="方正仿宋_GBK" w:cs="方正仿宋_GBK"/>
          <w:b w:val="0"/>
          <w:bCs w:val="0"/>
          <w:sz w:val="32"/>
          <w:szCs w:val="32"/>
          <w:lang w:eastAsia="zh-CN"/>
        </w:rPr>
        <w:t>盟</w:t>
      </w:r>
      <w:r>
        <w:rPr>
          <w:rFonts w:hint="eastAsia" w:ascii="方正仿宋_GBK" w:hAnsi="方正仿宋_GBK" w:eastAsia="方正仿宋_GBK" w:cs="方正仿宋_GBK"/>
          <w:b w:val="0"/>
          <w:bCs w:val="0"/>
          <w:snapToGrid w:val="0"/>
          <w:color w:val="000000"/>
          <w:kern w:val="0"/>
          <w:sz w:val="32"/>
          <w:szCs w:val="32"/>
        </w:rPr>
        <w:t>等地区焦煤等稀有煤种，</w:t>
      </w:r>
      <w:r>
        <w:rPr>
          <w:rFonts w:hint="eastAsia" w:ascii="方正仿宋_GBK" w:hAnsi="方正仿宋_GBK" w:eastAsia="方正仿宋_GBK" w:cs="方正仿宋_GBK"/>
          <w:b w:val="0"/>
          <w:bCs w:val="0"/>
          <w:sz w:val="32"/>
          <w:szCs w:val="32"/>
        </w:rPr>
        <w:t>推进乌海</w:t>
      </w:r>
      <w:r>
        <w:rPr>
          <w:rFonts w:hint="eastAsia" w:ascii="方正仿宋_GBK" w:hAnsi="方正仿宋_GBK" w:eastAsia="方正仿宋_GBK" w:cs="方正仿宋_GBK"/>
          <w:b w:val="0"/>
          <w:bCs w:val="0"/>
          <w:sz w:val="32"/>
          <w:szCs w:val="32"/>
          <w:lang w:eastAsia="zh-CN"/>
        </w:rPr>
        <w:t>及周边</w:t>
      </w:r>
      <w:r>
        <w:rPr>
          <w:rFonts w:hint="eastAsia" w:ascii="方正仿宋_GBK" w:hAnsi="方正仿宋_GBK" w:eastAsia="方正仿宋_GBK" w:cs="方正仿宋_GBK"/>
          <w:b w:val="0"/>
          <w:bCs w:val="0"/>
          <w:sz w:val="32"/>
          <w:szCs w:val="32"/>
        </w:rPr>
        <w:t>地区煤炭资源整合，优化开采布局、科学合理开发。</w:t>
      </w:r>
    </w:p>
    <w:p>
      <w:pPr>
        <w:keepNext w:val="0"/>
        <w:keepLines w:val="0"/>
        <w:pageBreakBefore w:val="0"/>
        <w:widowControl w:val="0"/>
        <w:kinsoku/>
        <w:wordWrap/>
        <w:overflowPunct/>
        <w:topLinePunct/>
        <w:autoSpaceDE/>
        <w:autoSpaceDN/>
        <w:bidi w:val="0"/>
        <w:adjustRightInd w:val="0"/>
        <w:snapToGrid w:val="0"/>
        <w:spacing w:line="580" w:lineRule="exact"/>
        <w:ind w:firstLine="641"/>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强化地热能开发利用。</w:t>
      </w:r>
      <w:r>
        <w:rPr>
          <w:rFonts w:hint="eastAsia" w:ascii="方正仿宋_GBK" w:hAnsi="方正仿宋_GBK" w:eastAsia="方正仿宋_GBK" w:cs="方正仿宋_GBK"/>
          <w:b w:val="0"/>
          <w:bCs w:val="0"/>
          <w:snapToGrid w:val="0"/>
          <w:color w:val="000000"/>
          <w:kern w:val="0"/>
          <w:sz w:val="32"/>
          <w:szCs w:val="32"/>
        </w:rPr>
        <w:t>积极推进</w:t>
      </w:r>
      <w:r>
        <w:rPr>
          <w:rFonts w:hint="eastAsia" w:ascii="方正仿宋_GBK" w:hAnsi="方正仿宋_GBK" w:eastAsia="方正仿宋_GBK" w:cs="方正仿宋_GBK"/>
          <w:b w:val="0"/>
          <w:bCs w:val="0"/>
          <w:snapToGrid w:val="0"/>
          <w:color w:val="000000"/>
          <w:kern w:val="0"/>
          <w:sz w:val="32"/>
          <w:szCs w:val="32"/>
          <w:lang w:eastAsia="zh-CN"/>
        </w:rPr>
        <w:t>呼和浩特市</w:t>
      </w:r>
      <w:r>
        <w:rPr>
          <w:rFonts w:hint="eastAsia" w:ascii="方正仿宋_GBK" w:hAnsi="方正仿宋_GBK" w:eastAsia="方正仿宋_GBK" w:cs="方正仿宋_GBK"/>
          <w:b w:val="0"/>
          <w:bCs w:val="0"/>
          <w:snapToGrid w:val="0"/>
          <w:color w:val="000000"/>
          <w:kern w:val="0"/>
          <w:sz w:val="32"/>
          <w:szCs w:val="32"/>
        </w:rPr>
        <w:t>、包头</w:t>
      </w:r>
      <w:r>
        <w:rPr>
          <w:rFonts w:hint="eastAsia" w:ascii="方正仿宋_GBK" w:hAnsi="方正仿宋_GBK" w:eastAsia="方正仿宋_GBK" w:cs="方正仿宋_GBK"/>
          <w:b w:val="0"/>
          <w:bCs w:val="0"/>
          <w:snapToGrid w:val="0"/>
          <w:color w:val="000000"/>
          <w:kern w:val="0"/>
          <w:sz w:val="32"/>
          <w:szCs w:val="32"/>
          <w:lang w:eastAsia="zh-CN"/>
        </w:rPr>
        <w:t>市</w:t>
      </w:r>
      <w:r>
        <w:rPr>
          <w:rFonts w:hint="eastAsia" w:ascii="方正仿宋_GBK" w:hAnsi="方正仿宋_GBK" w:eastAsia="方正仿宋_GBK" w:cs="方正仿宋_GBK"/>
          <w:b w:val="0"/>
          <w:bCs w:val="0"/>
          <w:snapToGrid w:val="0"/>
          <w:color w:val="000000"/>
          <w:kern w:val="0"/>
          <w:sz w:val="32"/>
          <w:szCs w:val="32"/>
        </w:rPr>
        <w:t>、鄂尔多斯</w:t>
      </w:r>
      <w:r>
        <w:rPr>
          <w:rFonts w:hint="eastAsia" w:ascii="方正仿宋_GBK" w:hAnsi="方正仿宋_GBK" w:eastAsia="方正仿宋_GBK" w:cs="方正仿宋_GBK"/>
          <w:b w:val="0"/>
          <w:bCs w:val="0"/>
          <w:snapToGrid w:val="0"/>
          <w:color w:val="000000"/>
          <w:kern w:val="0"/>
          <w:sz w:val="32"/>
          <w:szCs w:val="32"/>
          <w:lang w:eastAsia="zh-CN"/>
        </w:rPr>
        <w:t>市</w:t>
      </w:r>
      <w:r>
        <w:rPr>
          <w:rFonts w:hint="eastAsia" w:ascii="方正仿宋_GBK" w:hAnsi="方正仿宋_GBK" w:eastAsia="方正仿宋_GBK" w:cs="方正仿宋_GBK"/>
          <w:b w:val="0"/>
          <w:bCs w:val="0"/>
          <w:snapToGrid w:val="0"/>
          <w:color w:val="000000"/>
          <w:kern w:val="0"/>
          <w:sz w:val="32"/>
          <w:szCs w:val="32"/>
        </w:rPr>
        <w:t>地热资源开发，扩大地热资源利用规模。科学开发高效利用地热资源，发展</w:t>
      </w:r>
      <w:r>
        <w:rPr>
          <w:rFonts w:hint="eastAsia" w:ascii="方正仿宋_GBK" w:hAnsi="方正仿宋_GBK" w:eastAsia="方正仿宋_GBK" w:cs="方正仿宋_GBK"/>
          <w:b w:val="0"/>
          <w:bCs w:val="0"/>
          <w:color w:val="000000"/>
          <w:sz w:val="32"/>
          <w:szCs w:val="32"/>
        </w:rPr>
        <w:t>以康养、洗浴、度假旅游和供热为主要服务方向地热能开发。</w:t>
      </w:r>
      <w:r>
        <w:rPr>
          <w:rFonts w:hint="eastAsia" w:ascii="方正仿宋_GBK" w:hAnsi="方正仿宋_GBK" w:eastAsia="方正仿宋_GBK" w:cs="方正仿宋_GBK"/>
          <w:b w:val="0"/>
          <w:bCs w:val="0"/>
          <w:snapToGrid w:val="0"/>
          <w:color w:val="000000"/>
          <w:kern w:val="0"/>
          <w:sz w:val="32"/>
          <w:szCs w:val="32"/>
        </w:rPr>
        <w:t>加快推进全区浅层地热能供暖/制冷系统建设，通过政策激励、勘查指导、示范引领，引导浅层地热能在供暖/制冷领域的用能替代由盟市中心城市向旗县城关镇及重点</w:t>
      </w:r>
      <w:r>
        <w:rPr>
          <w:rFonts w:hint="eastAsia" w:ascii="方正仿宋_GBK" w:hAnsi="方正仿宋_GBK" w:eastAsia="方正仿宋_GBK" w:cs="方正仿宋_GBK"/>
          <w:b w:val="0"/>
          <w:bCs w:val="0"/>
          <w:snapToGrid w:val="0"/>
          <w:color w:val="000000"/>
          <w:kern w:val="0"/>
          <w:sz w:val="32"/>
          <w:szCs w:val="32"/>
          <w:lang w:eastAsia="zh-CN"/>
        </w:rPr>
        <w:t>苏木</w:t>
      </w:r>
      <w:r>
        <w:rPr>
          <w:rFonts w:hint="eastAsia" w:ascii="方正仿宋_GBK" w:hAnsi="方正仿宋_GBK" w:eastAsia="方正仿宋_GBK" w:cs="方正仿宋_GBK"/>
          <w:b w:val="0"/>
          <w:bCs w:val="0"/>
          <w:snapToGrid w:val="0"/>
          <w:color w:val="000000"/>
          <w:kern w:val="0"/>
          <w:sz w:val="32"/>
          <w:szCs w:val="32"/>
        </w:rPr>
        <w:t>乡镇普及，形成全区“多点开花、由点及面、协同发展”的发展格局。</w:t>
      </w:r>
    </w:p>
    <w:p>
      <w:pPr>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稳定金属矿产供应。钨、稀土严格按照国家下达的开采总量控制指标生产，严禁超标开采。鼓励钨矿生产企业加大科研力度，改进工艺装备，控制初级产品的配额比例。强化铅、锌、钼等矿产新建矿山环境准入论证，严格准入门槛，原则上不再新建小型及以下矿山。稳定铁锰矿产供应能力，加快形成以资源基地和国家规划矿区为核心，大中型矿山为主体的供应格局。适度扩大铜矿开发规模，依托铜多金属资源基地，建设铜产业集群。提升贵金属矿产开发水平，以包头</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、赤峰</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、乌兰察布</w:t>
      </w:r>
      <w:r>
        <w:rPr>
          <w:rFonts w:hint="eastAsia" w:ascii="方正仿宋_GBK" w:hAnsi="方正仿宋_GBK" w:eastAsia="方正仿宋_GBK" w:cs="方正仿宋_GBK"/>
          <w:b w:val="0"/>
          <w:bCs w:val="0"/>
          <w:color w:val="000000"/>
          <w:sz w:val="32"/>
          <w:szCs w:val="32"/>
          <w:lang w:eastAsia="zh-CN"/>
        </w:rPr>
        <w:t>市</w:t>
      </w:r>
      <w:r>
        <w:rPr>
          <w:rFonts w:hint="eastAsia" w:ascii="方正仿宋_GBK" w:hAnsi="方正仿宋_GBK" w:eastAsia="方正仿宋_GBK" w:cs="方正仿宋_GBK"/>
          <w:b w:val="0"/>
          <w:bCs w:val="0"/>
          <w:color w:val="000000"/>
          <w:sz w:val="32"/>
          <w:szCs w:val="32"/>
        </w:rPr>
        <w:t>等地区为重点，稳定黄金资源供给，形成一批具有核心竞争力的大型黄金企业集团，推广应用低氰、无氰提金工艺技术，提高废石、尾矿的资源综合利用水平。</w:t>
      </w:r>
    </w:p>
    <w:p>
      <w:pPr>
        <w:keepNext w:val="0"/>
        <w:keepLines w:val="0"/>
        <w:pageBreakBefore w:val="0"/>
        <w:widowControl w:val="0"/>
        <w:kinsoku/>
        <w:wordWrap/>
        <w:overflowPunct/>
        <w:topLinePunct/>
        <w:autoSpaceDE/>
        <w:autoSpaceDN/>
        <w:bidi w:val="0"/>
        <w:adjustRightInd w:val="0"/>
        <w:snapToGrid w:val="0"/>
        <w:spacing w:line="58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提升非金属矿产开发水平。依托石墨资源基地和国家规划矿区，鼓励资源富集地和产业优势区发展石墨深加工产业，资源优势向高端新能源、生物医药、环保材料等产业培植。以四子王旗地区萤石资源为重点，推进规模化产业化发展，新建萤石矿山最低开采规模为中型及以上。</w:t>
      </w:r>
      <w:bookmarkStart w:id="100" w:name="_Toc60681274"/>
      <w:bookmarkStart w:id="101" w:name="_Toc60502805"/>
    </w:p>
    <w:p>
      <w:pPr>
        <w:keepNext w:val="0"/>
        <w:keepLines w:val="0"/>
        <w:pageBreakBefore w:val="0"/>
        <w:widowControl w:val="0"/>
        <w:kinsoku/>
        <w:wordWrap/>
        <w:overflowPunct/>
        <w:topLinePunct/>
        <w:autoSpaceDE/>
        <w:autoSpaceDN/>
        <w:bidi w:val="0"/>
        <w:adjustRightInd w:val="0"/>
        <w:snapToGrid w:val="0"/>
        <w:spacing w:line="580" w:lineRule="exact"/>
        <w:ind w:firstLine="643"/>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加强普通建筑用砂石土矿山管理。盟市</w:t>
      </w:r>
      <w:r>
        <w:rPr>
          <w:rFonts w:hint="eastAsia" w:ascii="方正仿宋_GBK" w:hAnsi="方正仿宋_GBK" w:eastAsia="方正仿宋_GBK" w:cs="方正仿宋_GBK"/>
          <w:b w:val="0"/>
          <w:bCs w:val="0"/>
          <w:snapToGrid w:val="0"/>
          <w:color w:val="000000"/>
          <w:kern w:val="0"/>
          <w:sz w:val="32"/>
          <w:szCs w:val="32"/>
          <w:lang w:eastAsia="zh-CN"/>
        </w:rPr>
        <w:t>要</w:t>
      </w:r>
      <w:r>
        <w:rPr>
          <w:rFonts w:hint="eastAsia" w:ascii="方正仿宋_GBK" w:hAnsi="方正仿宋_GBK" w:eastAsia="方正仿宋_GBK" w:cs="方正仿宋_GBK"/>
          <w:b w:val="0"/>
          <w:bCs w:val="0"/>
          <w:snapToGrid w:val="0"/>
          <w:color w:val="000000"/>
          <w:kern w:val="0"/>
          <w:sz w:val="32"/>
          <w:szCs w:val="32"/>
        </w:rPr>
        <w:t>在深入调查的基础上，综合区域需求、环境承载力、资源综合开发利用等因素，</w:t>
      </w:r>
      <w:r>
        <w:rPr>
          <w:rFonts w:hint="eastAsia" w:ascii="方正仿宋_GBK" w:hAnsi="方正仿宋_GBK" w:eastAsia="方正仿宋_GBK" w:cs="方正仿宋_GBK"/>
          <w:b w:val="0"/>
          <w:bCs w:val="0"/>
          <w:kern w:val="0"/>
          <w:sz w:val="32"/>
          <w:szCs w:val="32"/>
        </w:rPr>
        <w:t>根据本地区矿产资源管理需求，划定砂石土类矿产集中开采区，明确区内矿业权投放总数、开采总量、最低开采规模、矿区生态保护修复措施等准入要求，引导集中开采、规模开采、绿色开采，</w:t>
      </w:r>
      <w:r>
        <w:rPr>
          <w:rFonts w:hint="eastAsia" w:ascii="方正仿宋_GBK" w:hAnsi="方正仿宋_GBK" w:eastAsia="方正仿宋_GBK" w:cs="方正仿宋_GBK"/>
          <w:b w:val="0"/>
          <w:bCs w:val="0"/>
          <w:color w:val="000000"/>
          <w:sz w:val="32"/>
          <w:szCs w:val="32"/>
        </w:rPr>
        <w:t>对无法划定</w:t>
      </w:r>
      <w:r>
        <w:rPr>
          <w:rFonts w:hint="eastAsia" w:ascii="方正仿宋_GBK" w:hAnsi="方正仿宋_GBK" w:eastAsia="方正仿宋_GBK" w:cs="方正仿宋_GBK"/>
          <w:b w:val="0"/>
          <w:bCs w:val="0"/>
          <w:kern w:val="0"/>
          <w:sz w:val="32"/>
          <w:szCs w:val="32"/>
        </w:rPr>
        <w:t>集中开采区且</w:t>
      </w:r>
      <w:r>
        <w:rPr>
          <w:rFonts w:hint="eastAsia" w:ascii="方正仿宋_GBK" w:hAnsi="方正仿宋_GBK" w:eastAsia="方正仿宋_GBK" w:cs="方正仿宋_GBK"/>
          <w:b w:val="0"/>
          <w:bCs w:val="0"/>
          <w:color w:val="000000"/>
          <w:sz w:val="32"/>
          <w:szCs w:val="32"/>
        </w:rPr>
        <w:t>需要对砂石土类矿产进行安排的</w:t>
      </w:r>
      <w:r>
        <w:rPr>
          <w:rFonts w:hint="eastAsia" w:ascii="方正仿宋_GBK" w:hAnsi="方正仿宋_GBK" w:eastAsia="方正仿宋_GBK" w:cs="方正仿宋_GBK"/>
          <w:b w:val="0"/>
          <w:bCs w:val="0"/>
          <w:color w:val="000000"/>
          <w:sz w:val="32"/>
          <w:szCs w:val="32"/>
          <w:lang w:eastAsia="zh-CN"/>
        </w:rPr>
        <w:t>盟</w:t>
      </w:r>
      <w:r>
        <w:rPr>
          <w:rFonts w:hint="eastAsia" w:ascii="方正仿宋_GBK" w:hAnsi="方正仿宋_GBK" w:eastAsia="方正仿宋_GBK" w:cs="方正仿宋_GBK"/>
          <w:b w:val="0"/>
          <w:bCs w:val="0"/>
          <w:color w:val="000000"/>
          <w:sz w:val="32"/>
          <w:szCs w:val="32"/>
        </w:rPr>
        <w:t>市</w:t>
      </w:r>
      <w:r>
        <w:rPr>
          <w:rFonts w:hint="eastAsia" w:ascii="方正仿宋_GBK" w:hAnsi="方正仿宋_GBK" w:eastAsia="方正仿宋_GBK" w:cs="方正仿宋_GBK"/>
          <w:b w:val="0"/>
          <w:bCs w:val="0"/>
          <w:color w:val="000000"/>
          <w:sz w:val="32"/>
          <w:szCs w:val="32"/>
          <w:lang w:eastAsia="zh-CN"/>
        </w:rPr>
        <w:t>、旗</w:t>
      </w:r>
      <w:r>
        <w:rPr>
          <w:rFonts w:hint="eastAsia" w:ascii="方正仿宋_GBK" w:hAnsi="方正仿宋_GBK" w:eastAsia="方正仿宋_GBK" w:cs="方正仿宋_GBK"/>
          <w:b w:val="0"/>
          <w:bCs w:val="0"/>
          <w:color w:val="000000"/>
          <w:sz w:val="32"/>
          <w:szCs w:val="32"/>
        </w:rPr>
        <w:t>县</w:t>
      </w:r>
      <w:r>
        <w:rPr>
          <w:rFonts w:hint="eastAsia" w:ascii="方正仿宋_GBK" w:hAnsi="方正仿宋_GBK" w:eastAsia="方正仿宋_GBK" w:cs="方正仿宋_GBK"/>
          <w:b w:val="0"/>
          <w:bCs w:val="0"/>
          <w:color w:val="000000"/>
          <w:sz w:val="32"/>
          <w:szCs w:val="32"/>
          <w:lang w:eastAsia="zh-CN"/>
        </w:rPr>
        <w:t>（市、区）</w:t>
      </w:r>
      <w:r>
        <w:rPr>
          <w:rFonts w:hint="eastAsia" w:ascii="方正仿宋_GBK" w:hAnsi="方正仿宋_GBK" w:eastAsia="方正仿宋_GBK" w:cs="方正仿宋_GBK"/>
          <w:b w:val="0"/>
          <w:bCs w:val="0"/>
          <w:color w:val="000000"/>
          <w:sz w:val="32"/>
          <w:szCs w:val="32"/>
        </w:rPr>
        <w:t>，也可划定开采规划区块进行合理布局。</w:t>
      </w:r>
      <w:r>
        <w:rPr>
          <w:rFonts w:hint="eastAsia" w:ascii="方正仿宋_GBK" w:hAnsi="方正仿宋_GBK" w:eastAsia="方正仿宋_GBK" w:cs="方正仿宋_GBK"/>
          <w:b w:val="0"/>
          <w:bCs w:val="0"/>
          <w:snapToGrid w:val="0"/>
          <w:color w:val="000000"/>
          <w:kern w:val="0"/>
          <w:sz w:val="32"/>
          <w:szCs w:val="32"/>
        </w:rPr>
        <w:t>探索开展</w:t>
      </w:r>
      <w:r>
        <w:rPr>
          <w:rFonts w:hint="eastAsia" w:ascii="方正仿宋_GBK" w:hAnsi="方正仿宋_GBK" w:eastAsia="方正仿宋_GBK" w:cs="方正仿宋_GBK"/>
          <w:b w:val="0"/>
          <w:bCs w:val="0"/>
          <w:color w:val="000000"/>
          <w:sz w:val="32"/>
          <w:szCs w:val="32"/>
        </w:rPr>
        <w:t>普通建筑用砂石土“净矿”出让。</w:t>
      </w:r>
    </w:p>
    <w:bookmarkEnd w:id="100"/>
    <w:bookmarkEnd w:id="101"/>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102" w:name="_Toc69227001"/>
      <w:bookmarkStart w:id="103" w:name="_Toc90371310"/>
      <w:bookmarkStart w:id="104" w:name="_Toc60502806"/>
      <w:bookmarkStart w:id="105" w:name="_Toc71799473"/>
      <w:r>
        <w:rPr>
          <w:rFonts w:hint="eastAsia" w:ascii="方正楷体_GBK" w:hAnsi="方正楷体_GBK" w:eastAsia="方正楷体_GBK" w:cs="方正楷体_GBK"/>
          <w:b w:val="0"/>
          <w:bCs w:val="0"/>
          <w:color w:val="000000"/>
        </w:rPr>
        <w:t>第二节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逐步完善矿产资源开发利用结构</w:t>
      </w:r>
      <w:bookmarkEnd w:id="102"/>
      <w:bookmarkEnd w:id="103"/>
      <w:bookmarkEnd w:id="104"/>
      <w:bookmarkEnd w:id="105"/>
    </w:p>
    <w:p>
      <w:pPr>
        <w:keepNext w:val="0"/>
        <w:keepLines w:val="0"/>
        <w:pageBreakBefore w:val="0"/>
        <w:widowControl w:val="0"/>
        <w:kinsoku/>
        <w:wordWrap/>
        <w:overflowPunct/>
        <w:topLinePunct/>
        <w:autoSpaceDE/>
        <w:autoSpaceDN/>
        <w:bidi w:val="0"/>
        <w:adjustRightInd w:val="0"/>
        <w:snapToGrid w:val="0"/>
        <w:spacing w:line="580" w:lineRule="exact"/>
        <w:ind w:firstLine="643"/>
        <w:jc w:val="both"/>
        <w:textAlignment w:val="auto"/>
        <w:rPr>
          <w:rFonts w:hint="eastAsia" w:ascii="方正仿宋_GBK" w:hAnsi="方正仿宋_GBK" w:eastAsia="方正仿宋_GBK" w:cs="方正仿宋_GBK"/>
          <w:b w:val="0"/>
          <w:bCs w:val="0"/>
          <w:color w:val="000000"/>
          <w:sz w:val="32"/>
          <w:szCs w:val="32"/>
        </w:rPr>
      </w:pPr>
      <w:bookmarkStart w:id="106" w:name="_Toc60502807"/>
      <w:bookmarkStart w:id="107" w:name="_Toc71813455"/>
      <w:bookmarkStart w:id="108" w:name="_Toc71799670"/>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提</w:t>
      </w:r>
      <w:r>
        <w:rPr>
          <w:rFonts w:hint="eastAsia" w:ascii="方正仿宋_GBK" w:hAnsi="方正仿宋_GBK" w:eastAsia="方正仿宋_GBK" w:cs="方正仿宋_GBK"/>
          <w:b w:val="0"/>
          <w:bCs w:val="0"/>
          <w:snapToGrid/>
          <w:color w:val="000000"/>
          <w:kern w:val="0"/>
          <w:sz w:val="32"/>
          <w:szCs w:val="32"/>
        </w:rPr>
        <w:t>高</w:t>
      </w:r>
      <w:bookmarkEnd w:id="106"/>
      <w:r>
        <w:rPr>
          <w:rFonts w:hint="eastAsia" w:ascii="方正仿宋_GBK" w:hAnsi="方正仿宋_GBK" w:eastAsia="方正仿宋_GBK" w:cs="方正仿宋_GBK"/>
          <w:b w:val="0"/>
          <w:bCs w:val="0"/>
          <w:snapToGrid/>
          <w:color w:val="000000"/>
          <w:kern w:val="0"/>
          <w:sz w:val="32"/>
          <w:szCs w:val="32"/>
        </w:rPr>
        <w:t>最低开采规模</w:t>
      </w:r>
      <w:bookmarkEnd w:id="107"/>
      <w:bookmarkEnd w:id="108"/>
      <w:r>
        <w:rPr>
          <w:rFonts w:hint="eastAsia" w:ascii="方正仿宋_GBK" w:hAnsi="方正仿宋_GBK" w:eastAsia="方正仿宋_GBK" w:cs="方正仿宋_GBK"/>
          <w:b w:val="0"/>
          <w:bCs w:val="0"/>
          <w:snapToGrid/>
          <w:color w:val="000000"/>
          <w:kern w:val="0"/>
          <w:sz w:val="32"/>
          <w:szCs w:val="32"/>
          <w:lang w:eastAsia="zh-CN"/>
        </w:rPr>
        <w:t>。</w:t>
      </w:r>
      <w:r>
        <w:rPr>
          <w:rFonts w:hint="eastAsia" w:ascii="方正仿宋_GBK" w:hAnsi="方正仿宋_GBK" w:eastAsia="方正仿宋_GBK" w:cs="方正仿宋_GBK"/>
          <w:b w:val="0"/>
          <w:bCs w:val="0"/>
          <w:color w:val="000000"/>
          <w:kern w:val="0"/>
          <w:sz w:val="32"/>
          <w:szCs w:val="32"/>
        </w:rPr>
        <w:t>矿山建设规模要与矿床储量规模相适应，防止大矿小开、一矿多开。提高新建矿山最低开采规模，严格新建和改扩建煤矿准入标准，新建井工煤矿原则上产能不低于300</w:t>
      </w:r>
      <w:r>
        <w:rPr>
          <w:rFonts w:hint="eastAsia" w:ascii="方正仿宋_GBK" w:hAnsi="方正仿宋_GBK" w:eastAsia="方正仿宋_GBK" w:cs="方正仿宋_GBK"/>
          <w:b w:val="0"/>
          <w:bCs w:val="0"/>
          <w:color w:val="000000"/>
          <w:sz w:val="32"/>
          <w:szCs w:val="32"/>
        </w:rPr>
        <w:t>万吨/年，</w:t>
      </w:r>
      <w:r>
        <w:rPr>
          <w:rFonts w:hint="eastAsia" w:ascii="方正仿宋_GBK" w:hAnsi="方正仿宋_GBK" w:eastAsia="方正仿宋_GBK" w:cs="方正仿宋_GBK"/>
          <w:b w:val="0"/>
          <w:bCs w:val="0"/>
          <w:sz w:val="32"/>
          <w:szCs w:val="32"/>
        </w:rPr>
        <w:t>改扩建煤矿改扩建后产能不低于120万吨/年</w:t>
      </w:r>
      <w:r>
        <w:rPr>
          <w:rFonts w:hint="eastAsia" w:ascii="方正仿宋_GBK" w:hAnsi="方正仿宋_GBK" w:eastAsia="方正仿宋_GBK" w:cs="方正仿宋_GBK"/>
          <w:b w:val="0"/>
          <w:bCs w:val="0"/>
          <w:color w:val="000000"/>
          <w:sz w:val="32"/>
          <w:szCs w:val="32"/>
        </w:rPr>
        <w:t>。原则上不再新建年产矿石量30万吨以下的铜矿山，不再新建日处理岩金矿石300吨以下的露天采选项目、100吨以下的地下采选项目，</w:t>
      </w:r>
      <w:r>
        <w:rPr>
          <w:rFonts w:hint="eastAsia" w:ascii="方正仿宋_GBK" w:hAnsi="方正仿宋_GBK" w:eastAsia="方正仿宋_GBK" w:cs="方正仿宋_GBK"/>
          <w:b w:val="0"/>
          <w:bCs w:val="0"/>
          <w:color w:val="000000"/>
          <w:sz w:val="32"/>
          <w:szCs w:val="32"/>
          <w:shd w:val="clear" w:color="auto" w:fill="FFFFFF"/>
        </w:rPr>
        <w:t>除煤层气、富铁、金、地热、矿泉水</w:t>
      </w:r>
      <w:r>
        <w:rPr>
          <w:rFonts w:hint="eastAsia" w:ascii="方正仿宋_GBK" w:hAnsi="方正仿宋_GBK" w:eastAsia="方正仿宋_GBK" w:cs="方正仿宋_GBK"/>
          <w:b w:val="0"/>
          <w:bCs w:val="0"/>
          <w:color w:val="000000"/>
          <w:sz w:val="32"/>
          <w:szCs w:val="32"/>
        </w:rPr>
        <w:t>外原则上不再新建小型及以下矿山。</w:t>
      </w:r>
    </w:p>
    <w:p>
      <w:pPr>
        <w:keepNext w:val="0"/>
        <w:keepLines w:val="0"/>
        <w:pageBreakBefore w:val="0"/>
        <w:widowControl w:val="0"/>
        <w:kinsoku/>
        <w:wordWrap/>
        <w:overflowPunct/>
        <w:topLinePunct/>
        <w:autoSpaceDE/>
        <w:autoSpaceDN/>
        <w:bidi w:val="0"/>
        <w:adjustRightInd w:val="0"/>
        <w:snapToGrid w:val="0"/>
        <w:spacing w:line="580" w:lineRule="exact"/>
        <w:ind w:firstLine="643"/>
        <w:jc w:val="both"/>
        <w:textAlignment w:val="auto"/>
        <w:rPr>
          <w:rFonts w:hint="eastAsia" w:ascii="方正仿宋_GBK" w:hAnsi="方正仿宋_GBK" w:eastAsia="方正仿宋_GBK" w:cs="方正仿宋_GBK"/>
          <w:b w:val="0"/>
          <w:bCs w:val="0"/>
          <w:color w:val="00000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仿宋_GBK" w:hAnsi="方正仿宋_GBK" w:eastAsia="方正仿宋_GBK" w:cs="方正仿宋_GBK"/>
          <w:b w:val="0"/>
          <w:bCs w:val="0"/>
          <w:color w:val="000000"/>
          <w:sz w:val="32"/>
          <w:szCs w:val="32"/>
        </w:rPr>
      </w:pPr>
      <w:r>
        <w:rPr>
          <w:rFonts w:hint="eastAsia" w:ascii="方正黑体_GBK" w:hAnsi="方正黑体_GBK" w:eastAsia="方正黑体_GBK" w:cs="方正黑体_GBK"/>
          <w:b w:val="0"/>
          <w:bCs w:val="0"/>
          <w:color w:val="000000"/>
          <w:sz w:val="32"/>
          <w:szCs w:val="32"/>
        </w:rPr>
        <w:t>专栏5</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rPr>
        <w:t>重点矿种新建矿山最低开采规模</w:t>
      </w:r>
    </w:p>
    <w:p>
      <w:pPr>
        <w:keepNext w:val="0"/>
        <w:keepLines w:val="0"/>
        <w:pageBreakBefore w:val="0"/>
        <w:widowControl w:val="0"/>
        <w:kinsoku/>
        <w:wordWrap/>
        <w:overflowPunct/>
        <w:topLinePunct w:val="0"/>
        <w:autoSpaceDE/>
        <w:autoSpaceDN/>
        <w:bidi w:val="0"/>
        <w:adjustRightInd/>
        <w:snapToGrid/>
        <w:spacing w:line="200" w:lineRule="exact"/>
        <w:ind w:firstLine="641"/>
        <w:textAlignment w:val="auto"/>
        <w:rPr>
          <w:rFonts w:hint="eastAsia" w:ascii="方正仿宋_GBK" w:hAnsi="方正仿宋_GBK" w:eastAsia="方正仿宋_GBK" w:cs="方正仿宋_GBK"/>
          <w:b w:val="0"/>
          <w:bCs w:val="0"/>
          <w:color w:val="000000"/>
          <w:sz w:val="32"/>
          <w:szCs w:val="32"/>
        </w:rPr>
      </w:pPr>
    </w:p>
    <w:tbl>
      <w:tblPr>
        <w:tblStyle w:val="13"/>
        <w:tblW w:w="904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7"/>
        <w:gridCol w:w="3283"/>
        <w:gridCol w:w="2367"/>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jc w:val="center"/>
        </w:trPr>
        <w:tc>
          <w:tcPr>
            <w:tcW w:w="1647" w:type="dxa"/>
            <w:noWrap w:val="0"/>
            <w:vAlign w:val="center"/>
          </w:tcPr>
          <w:p>
            <w:pPr>
              <w:snapToGrid w:val="0"/>
              <w:spacing w:line="240" w:lineRule="auto"/>
              <w:ind w:firstLine="0" w:firstLineChars="0"/>
              <w:jc w:val="center"/>
              <w:rPr>
                <w:rFonts w:hint="eastAsia" w:ascii="黑体" w:hAnsi="黑体" w:eastAsia="黑体" w:cs="黑体"/>
                <w:b w:val="0"/>
                <w:bCs w:val="0"/>
                <w:color w:val="000000"/>
                <w:sz w:val="24"/>
              </w:rPr>
            </w:pPr>
          </w:p>
        </w:tc>
        <w:tc>
          <w:tcPr>
            <w:tcW w:w="3283"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矿</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种</w:t>
            </w:r>
          </w:p>
        </w:tc>
        <w:tc>
          <w:tcPr>
            <w:tcW w:w="2367"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单</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位</w:t>
            </w:r>
          </w:p>
        </w:tc>
        <w:tc>
          <w:tcPr>
            <w:tcW w:w="1746"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黑体" w:hAnsi="黑体" w:eastAsia="黑体" w:cs="黑体"/>
                <w:b w:val="0"/>
                <w:bCs w:val="0"/>
                <w:color w:val="000000"/>
                <w:sz w:val="24"/>
              </w:rPr>
            </w:pPr>
            <w:r>
              <w:rPr>
                <w:rFonts w:hint="eastAsia" w:ascii="黑体" w:hAnsi="黑体" w:eastAsia="黑体" w:cs="黑体"/>
                <w:b w:val="0"/>
                <w:bCs w:val="0"/>
                <w:color w:val="000000"/>
                <w:sz w:val="24"/>
              </w:rPr>
              <w:t>规</w:t>
            </w:r>
            <w:r>
              <w:rPr>
                <w:rFonts w:hint="eastAsia" w:ascii="黑体" w:hAnsi="黑体" w:eastAsia="黑体" w:cs="黑体"/>
                <w:b w:val="0"/>
                <w:bCs w:val="0"/>
                <w:color w:val="000000"/>
                <w:sz w:val="24"/>
                <w:lang w:val="en-US" w:eastAsia="zh-CN"/>
              </w:rPr>
              <w:t xml:space="preserve">  </w:t>
            </w:r>
            <w:r>
              <w:rPr>
                <w:rFonts w:hint="eastAsia" w:ascii="黑体" w:hAnsi="黑体" w:eastAsia="黑体" w:cs="黑体"/>
                <w:b w:val="0"/>
                <w:bCs w:val="0"/>
                <w:color w:val="000000"/>
                <w:sz w:val="24"/>
              </w:rPr>
              <w:t>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1647" w:type="dxa"/>
            <w:vMerge w:val="restart"/>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最低开采规模</w:t>
            </w:r>
          </w:p>
        </w:tc>
        <w:tc>
          <w:tcPr>
            <w:tcW w:w="3283"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煤炭（地下开采）</w:t>
            </w:r>
          </w:p>
        </w:tc>
        <w:tc>
          <w:tcPr>
            <w:tcW w:w="2367"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原煤：万吨/年</w:t>
            </w:r>
          </w:p>
        </w:tc>
        <w:tc>
          <w:tcPr>
            <w:tcW w:w="1746"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164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3283"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地热（热水）</w:t>
            </w:r>
          </w:p>
        </w:tc>
        <w:tc>
          <w:tcPr>
            <w:tcW w:w="2367"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万立方米/年</w:t>
            </w:r>
          </w:p>
        </w:tc>
        <w:tc>
          <w:tcPr>
            <w:tcW w:w="1746"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164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3283"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铁矿（地下开采/露天开采）</w:t>
            </w:r>
          </w:p>
        </w:tc>
        <w:tc>
          <w:tcPr>
            <w:tcW w:w="2367"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矿石：万吨/年</w:t>
            </w:r>
          </w:p>
        </w:tc>
        <w:tc>
          <w:tcPr>
            <w:tcW w:w="1746"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30/60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164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3283"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富</w:t>
            </w:r>
            <w:r>
              <w:rPr>
                <w:rFonts w:hint="eastAsia" w:ascii="宋体" w:hAnsi="宋体" w:eastAsia="宋体" w:cs="宋体"/>
                <w:b w:val="0"/>
                <w:bCs w:val="0"/>
                <w:color w:val="000000"/>
                <w:sz w:val="24"/>
                <w:lang w:val="en-US" w:eastAsia="zh-CN"/>
              </w:rPr>
              <w:t xml:space="preserve">  </w:t>
            </w:r>
            <w:r>
              <w:rPr>
                <w:rFonts w:hint="eastAsia" w:ascii="宋体" w:hAnsi="宋体" w:eastAsia="宋体" w:cs="宋体"/>
                <w:b w:val="0"/>
                <w:bCs w:val="0"/>
                <w:color w:val="000000"/>
                <w:sz w:val="24"/>
              </w:rPr>
              <w:t>铁</w:t>
            </w:r>
          </w:p>
        </w:tc>
        <w:tc>
          <w:tcPr>
            <w:tcW w:w="2367"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矿石：万吨/年</w:t>
            </w:r>
          </w:p>
        </w:tc>
        <w:tc>
          <w:tcPr>
            <w:tcW w:w="1746"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164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3283"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金</w:t>
            </w:r>
          </w:p>
        </w:tc>
        <w:tc>
          <w:tcPr>
            <w:tcW w:w="2367"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矿石：万吨/年</w:t>
            </w:r>
          </w:p>
        </w:tc>
        <w:tc>
          <w:tcPr>
            <w:tcW w:w="1746"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164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3283"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矿泉水</w:t>
            </w:r>
          </w:p>
        </w:tc>
        <w:tc>
          <w:tcPr>
            <w:tcW w:w="2367"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万吨/年</w:t>
            </w:r>
          </w:p>
        </w:tc>
        <w:tc>
          <w:tcPr>
            <w:tcW w:w="1746"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1647" w:type="dxa"/>
            <w:vMerge w:val="continue"/>
            <w:noWrap w:val="0"/>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3283"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其他矿种</w:t>
            </w:r>
          </w:p>
        </w:tc>
        <w:tc>
          <w:tcPr>
            <w:tcW w:w="2367"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p>
        </w:tc>
        <w:tc>
          <w:tcPr>
            <w:tcW w:w="1746" w:type="dxa"/>
            <w:noWrap w:val="0"/>
            <w:tcMar>
              <w:top w:w="15" w:type="dxa"/>
              <w:left w:w="80" w:type="dxa"/>
              <w:bottom w:w="0" w:type="dxa"/>
              <w:right w:w="80" w:type="dxa"/>
            </w:tcMar>
            <w:vAlign w:val="center"/>
          </w:tcPr>
          <w:p>
            <w:pPr>
              <w:snapToGrid w:val="0"/>
              <w:spacing w:line="240" w:lineRule="auto"/>
              <w:ind w:firstLine="0" w:firstLineChars="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中型下限</w:t>
            </w:r>
          </w:p>
        </w:tc>
      </w:tr>
    </w:tbl>
    <w:p>
      <w:pPr>
        <w:numPr>
          <w:ilvl w:val="0"/>
          <w:numId w:val="0"/>
        </w:numPr>
        <w:snapToGrid w:val="0"/>
        <w:spacing w:beforeLines="50" w:afterLines="50" w:line="580" w:lineRule="exact"/>
        <w:ind w:firstLine="640" w:firstLineChars="200"/>
        <w:outlineLvl w:val="2"/>
        <w:rPr>
          <w:rFonts w:hint="eastAsia" w:ascii="方正仿宋_GBK" w:hAnsi="方正仿宋_GBK" w:eastAsia="方正仿宋_GBK" w:cs="方正仿宋_GBK"/>
          <w:b w:val="0"/>
          <w:bCs w:val="0"/>
          <w:color w:val="000000"/>
          <w:sz w:val="32"/>
          <w:szCs w:val="32"/>
        </w:rPr>
      </w:pPr>
      <w:bookmarkStart w:id="109" w:name="_Toc60502808"/>
      <w:bookmarkStart w:id="110" w:name="_Toc71813456"/>
      <w:bookmarkStart w:id="111" w:name="_Toc71799671"/>
      <w:r>
        <w:rPr>
          <w:rFonts w:hint="eastAsia" w:ascii="方正仿宋_GBK" w:hAnsi="方正仿宋_GBK"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rPr>
        <w:t>优化矿山规模结构</w:t>
      </w:r>
      <w:bookmarkEnd w:id="109"/>
      <w:bookmarkEnd w:id="110"/>
      <w:bookmarkEnd w:id="111"/>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color w:val="000000"/>
          <w:sz w:val="32"/>
          <w:szCs w:val="32"/>
        </w:rPr>
        <w:t>控制矿山数量，加强矿产资源整合，关停技术落后、资源浪费和环境污染严重、安全生产条件差的矿山，到2025年底，自治区在期矿山数量控制在2900个以内。</w:t>
      </w:r>
    </w:p>
    <w:p>
      <w:pPr>
        <w:numPr>
          <w:ilvl w:val="0"/>
          <w:numId w:val="0"/>
        </w:numPr>
        <w:snapToGrid w:val="0"/>
        <w:spacing w:beforeLines="50" w:afterLines="50" w:line="580" w:lineRule="exact"/>
        <w:outlineLvl w:val="2"/>
        <w:rPr>
          <w:rFonts w:hint="eastAsia" w:ascii="方正仿宋_GBK" w:hAnsi="方正仿宋_GBK" w:eastAsia="方正仿宋_GBK" w:cs="方正仿宋_GBK"/>
          <w:b w:val="0"/>
          <w:bCs w:val="0"/>
          <w:color w:val="000000"/>
          <w:sz w:val="32"/>
          <w:szCs w:val="32"/>
        </w:rPr>
      </w:pPr>
    </w:p>
    <w:p>
      <w:pPr>
        <w:numPr>
          <w:ilvl w:val="0"/>
          <w:numId w:val="0"/>
        </w:numPr>
        <w:snapToGrid w:val="0"/>
        <w:spacing w:beforeLines="50" w:afterLines="50" w:line="580" w:lineRule="exact"/>
        <w:jc w:val="center"/>
        <w:outlineLvl w:val="2"/>
        <w:rPr>
          <w:rFonts w:hint="eastAsia" w:ascii="方正仿宋_GBK" w:hAnsi="方正仿宋_GBK" w:eastAsia="方正仿宋_GBK" w:cs="方正仿宋_GBK"/>
          <w:b w:val="0"/>
          <w:bCs w:val="0"/>
          <w:color w:val="000000"/>
          <w:sz w:val="32"/>
          <w:szCs w:val="32"/>
        </w:rPr>
      </w:pPr>
      <w:r>
        <w:rPr>
          <w:rFonts w:hint="eastAsia" w:ascii="方正黑体_GBK" w:hAnsi="方正黑体_GBK" w:eastAsia="方正黑体_GBK" w:cs="方正黑体_GBK"/>
          <w:b w:val="0"/>
          <w:bCs w:val="0"/>
          <w:color w:val="000000"/>
          <w:sz w:val="32"/>
          <w:szCs w:val="32"/>
        </w:rPr>
        <w:t>专栏6</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lang w:eastAsia="zh-CN"/>
        </w:rPr>
        <w:t>内蒙古</w:t>
      </w:r>
      <w:r>
        <w:rPr>
          <w:rFonts w:hint="eastAsia" w:ascii="方正黑体_GBK" w:hAnsi="方正黑体_GBK" w:eastAsia="方正黑体_GBK" w:cs="方正黑体_GBK"/>
          <w:b w:val="0"/>
          <w:bCs w:val="0"/>
          <w:color w:val="000000"/>
          <w:sz w:val="32"/>
          <w:szCs w:val="32"/>
        </w:rPr>
        <w:t>自治区在期矿山（除地热）数量控制指标分解</w:t>
      </w:r>
    </w:p>
    <w:p>
      <w:pPr>
        <w:keepNext w:val="0"/>
        <w:keepLines w:val="0"/>
        <w:pageBreakBefore w:val="0"/>
        <w:widowControl w:val="0"/>
        <w:kinsoku/>
        <w:wordWrap/>
        <w:overflowPunct/>
        <w:topLinePunct w:val="0"/>
        <w:autoSpaceDE/>
        <w:autoSpaceDN/>
        <w:bidi w:val="0"/>
        <w:adjustRightInd/>
        <w:snapToGrid/>
        <w:spacing w:line="60" w:lineRule="exact"/>
        <w:ind w:firstLine="641"/>
        <w:textAlignment w:val="auto"/>
        <w:rPr>
          <w:rFonts w:hint="eastAsia" w:ascii="方正仿宋_GBK" w:hAnsi="方正仿宋_GBK" w:eastAsia="方正仿宋_GBK" w:cs="方正仿宋_GBK"/>
          <w:b w:val="0"/>
          <w:bCs w:val="0"/>
          <w:color w:val="000000"/>
          <w:sz w:val="32"/>
          <w:szCs w:val="32"/>
        </w:rPr>
      </w:pPr>
    </w:p>
    <w:tbl>
      <w:tblPr>
        <w:tblStyle w:val="1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2200"/>
        <w:gridCol w:w="2583"/>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95" w:type="dxa"/>
            <w:noWrap w:val="0"/>
            <w:vAlign w:val="center"/>
          </w:tcPr>
          <w:p>
            <w:pPr>
              <w:snapToGrid w:val="0"/>
              <w:spacing w:line="240" w:lineRule="auto"/>
              <w:ind w:firstLine="0" w:firstLineChars="0"/>
              <w:jc w:val="center"/>
              <w:rPr>
                <w:rFonts w:hint="eastAsia" w:ascii="黑体" w:hAnsi="黑体" w:eastAsia="黑体" w:cs="黑体"/>
                <w:b w:val="0"/>
                <w:bCs w:val="0"/>
                <w:snapToGrid w:val="0"/>
                <w:color w:val="000000"/>
                <w:kern w:val="0"/>
                <w:sz w:val="24"/>
              </w:rPr>
            </w:pPr>
            <w:r>
              <w:rPr>
                <w:rFonts w:hint="eastAsia" w:ascii="黑体" w:hAnsi="黑体" w:eastAsia="黑体" w:cs="黑体"/>
                <w:b w:val="0"/>
                <w:bCs w:val="0"/>
                <w:snapToGrid w:val="0"/>
                <w:color w:val="000000"/>
                <w:kern w:val="0"/>
                <w:sz w:val="24"/>
              </w:rPr>
              <w:t>盟</w:t>
            </w:r>
            <w:r>
              <w:rPr>
                <w:rFonts w:hint="eastAsia" w:ascii="黑体" w:hAnsi="黑体" w:eastAsia="黑体" w:cs="黑体"/>
                <w:b w:val="0"/>
                <w:bCs w:val="0"/>
                <w:snapToGrid w:val="0"/>
                <w:color w:val="000000"/>
                <w:kern w:val="0"/>
                <w:sz w:val="24"/>
                <w:lang w:val="en-US" w:eastAsia="zh-CN"/>
              </w:rPr>
              <w:t xml:space="preserve">    </w:t>
            </w:r>
            <w:r>
              <w:rPr>
                <w:rFonts w:hint="eastAsia" w:ascii="黑体" w:hAnsi="黑体" w:eastAsia="黑体" w:cs="黑体"/>
                <w:b w:val="0"/>
                <w:bCs w:val="0"/>
                <w:snapToGrid w:val="0"/>
                <w:color w:val="000000"/>
                <w:kern w:val="0"/>
                <w:sz w:val="24"/>
              </w:rPr>
              <w:t>市</w:t>
            </w:r>
          </w:p>
        </w:tc>
        <w:tc>
          <w:tcPr>
            <w:tcW w:w="2200" w:type="dxa"/>
            <w:noWrap w:val="0"/>
            <w:vAlign w:val="center"/>
          </w:tcPr>
          <w:p>
            <w:pPr>
              <w:snapToGrid w:val="0"/>
              <w:spacing w:line="240" w:lineRule="auto"/>
              <w:ind w:firstLine="0" w:firstLineChars="0"/>
              <w:jc w:val="center"/>
              <w:rPr>
                <w:rFonts w:hint="eastAsia" w:ascii="黑体" w:hAnsi="黑体" w:eastAsia="黑体" w:cs="黑体"/>
                <w:b w:val="0"/>
                <w:bCs w:val="0"/>
                <w:snapToGrid w:val="0"/>
                <w:color w:val="000000"/>
                <w:kern w:val="0"/>
                <w:sz w:val="24"/>
              </w:rPr>
            </w:pPr>
            <w:r>
              <w:rPr>
                <w:rFonts w:hint="eastAsia" w:ascii="黑体" w:hAnsi="黑体" w:eastAsia="黑体" w:cs="黑体"/>
                <w:b w:val="0"/>
                <w:bCs w:val="0"/>
                <w:snapToGrid w:val="0"/>
                <w:color w:val="000000"/>
                <w:kern w:val="0"/>
                <w:sz w:val="24"/>
              </w:rPr>
              <w:t>2025年在期</w:t>
            </w:r>
          </w:p>
          <w:p>
            <w:pPr>
              <w:snapToGrid w:val="0"/>
              <w:spacing w:line="240" w:lineRule="auto"/>
              <w:ind w:firstLine="0" w:firstLineChars="0"/>
              <w:jc w:val="center"/>
              <w:rPr>
                <w:rFonts w:hint="eastAsia" w:ascii="黑体" w:hAnsi="黑体" w:eastAsia="黑体" w:cs="黑体"/>
                <w:b w:val="0"/>
                <w:bCs w:val="0"/>
                <w:snapToGrid w:val="0"/>
                <w:color w:val="000000"/>
                <w:kern w:val="0"/>
                <w:sz w:val="24"/>
              </w:rPr>
            </w:pPr>
            <w:r>
              <w:rPr>
                <w:rFonts w:hint="eastAsia" w:ascii="黑体" w:hAnsi="黑体" w:eastAsia="黑体" w:cs="黑体"/>
                <w:b w:val="0"/>
                <w:bCs w:val="0"/>
                <w:snapToGrid w:val="0"/>
                <w:color w:val="000000"/>
                <w:kern w:val="0"/>
                <w:sz w:val="24"/>
              </w:rPr>
              <w:t>矿山总数（个）</w:t>
            </w:r>
          </w:p>
        </w:tc>
        <w:tc>
          <w:tcPr>
            <w:tcW w:w="2583" w:type="dxa"/>
            <w:noWrap w:val="0"/>
            <w:vAlign w:val="center"/>
          </w:tcPr>
          <w:p>
            <w:pPr>
              <w:snapToGrid w:val="0"/>
              <w:spacing w:line="240" w:lineRule="auto"/>
              <w:ind w:firstLine="0" w:firstLineChars="0"/>
              <w:jc w:val="center"/>
              <w:rPr>
                <w:rFonts w:hint="eastAsia" w:ascii="黑体" w:hAnsi="黑体" w:eastAsia="黑体" w:cs="黑体"/>
                <w:b w:val="0"/>
                <w:bCs w:val="0"/>
                <w:snapToGrid w:val="0"/>
                <w:color w:val="000000"/>
                <w:kern w:val="0"/>
                <w:sz w:val="24"/>
              </w:rPr>
            </w:pPr>
            <w:r>
              <w:rPr>
                <w:rFonts w:hint="eastAsia" w:ascii="黑体" w:hAnsi="黑体" w:eastAsia="黑体" w:cs="黑体"/>
                <w:b w:val="0"/>
                <w:bCs w:val="0"/>
                <w:snapToGrid w:val="0"/>
                <w:color w:val="000000"/>
                <w:kern w:val="0"/>
                <w:sz w:val="24"/>
              </w:rPr>
              <w:t>盟</w:t>
            </w:r>
            <w:r>
              <w:rPr>
                <w:rFonts w:hint="eastAsia" w:ascii="黑体" w:hAnsi="黑体" w:eastAsia="黑体" w:cs="黑体"/>
                <w:b w:val="0"/>
                <w:bCs w:val="0"/>
                <w:snapToGrid w:val="0"/>
                <w:color w:val="000000"/>
                <w:kern w:val="0"/>
                <w:sz w:val="24"/>
                <w:lang w:val="en-US" w:eastAsia="zh-CN"/>
              </w:rPr>
              <w:t xml:space="preserve">    </w:t>
            </w:r>
            <w:r>
              <w:rPr>
                <w:rFonts w:hint="eastAsia" w:ascii="黑体" w:hAnsi="黑体" w:eastAsia="黑体" w:cs="黑体"/>
                <w:b w:val="0"/>
                <w:bCs w:val="0"/>
                <w:snapToGrid w:val="0"/>
                <w:color w:val="000000"/>
                <w:kern w:val="0"/>
                <w:sz w:val="24"/>
              </w:rPr>
              <w:t>市</w:t>
            </w:r>
          </w:p>
        </w:tc>
        <w:tc>
          <w:tcPr>
            <w:tcW w:w="2196" w:type="dxa"/>
            <w:noWrap w:val="0"/>
            <w:vAlign w:val="center"/>
          </w:tcPr>
          <w:p>
            <w:pPr>
              <w:snapToGrid w:val="0"/>
              <w:spacing w:line="240" w:lineRule="auto"/>
              <w:ind w:firstLine="0" w:firstLineChars="0"/>
              <w:jc w:val="center"/>
              <w:rPr>
                <w:rFonts w:hint="eastAsia" w:ascii="黑体" w:hAnsi="黑体" w:eastAsia="黑体" w:cs="黑体"/>
                <w:b w:val="0"/>
                <w:bCs w:val="0"/>
                <w:snapToGrid w:val="0"/>
                <w:color w:val="000000"/>
                <w:kern w:val="0"/>
                <w:sz w:val="24"/>
              </w:rPr>
            </w:pPr>
            <w:r>
              <w:rPr>
                <w:rFonts w:hint="eastAsia" w:ascii="黑体" w:hAnsi="黑体" w:eastAsia="黑体" w:cs="黑体"/>
                <w:b w:val="0"/>
                <w:bCs w:val="0"/>
                <w:snapToGrid w:val="0"/>
                <w:color w:val="000000"/>
                <w:kern w:val="0"/>
                <w:sz w:val="24"/>
              </w:rPr>
              <w:t>2025年在期</w:t>
            </w:r>
          </w:p>
          <w:p>
            <w:pPr>
              <w:snapToGrid w:val="0"/>
              <w:spacing w:line="240" w:lineRule="auto"/>
              <w:ind w:firstLine="0" w:firstLineChars="0"/>
              <w:jc w:val="center"/>
              <w:rPr>
                <w:rFonts w:hint="eastAsia" w:ascii="黑体" w:hAnsi="黑体" w:eastAsia="黑体" w:cs="黑体"/>
                <w:b w:val="0"/>
                <w:bCs w:val="0"/>
                <w:snapToGrid w:val="0"/>
                <w:color w:val="000000"/>
                <w:kern w:val="0"/>
                <w:sz w:val="24"/>
              </w:rPr>
            </w:pPr>
            <w:r>
              <w:rPr>
                <w:rFonts w:hint="eastAsia" w:ascii="黑体" w:hAnsi="黑体" w:eastAsia="黑体" w:cs="黑体"/>
                <w:b w:val="0"/>
                <w:bCs w:val="0"/>
                <w:snapToGrid w:val="0"/>
                <w:color w:val="000000"/>
                <w:kern w:val="0"/>
                <w:sz w:val="24"/>
              </w:rPr>
              <w:t>矿山总数（个）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95" w:type="dxa"/>
            <w:noWrap w:val="0"/>
            <w:vAlign w:val="center"/>
          </w:tcPr>
          <w:p>
            <w:pPr>
              <w:snapToGrid w:val="0"/>
              <w:spacing w:line="240" w:lineRule="auto"/>
              <w:ind w:firstLine="0" w:firstLineChars="0"/>
              <w:jc w:val="center"/>
              <w:rPr>
                <w:rFonts w:hint="eastAsia" w:ascii="宋体" w:hAnsi="宋体" w:eastAsia="宋体" w:cs="宋体"/>
                <w:b w:val="0"/>
                <w:bCs w:val="0"/>
                <w:snapToGrid w:val="0"/>
                <w:color w:val="000000"/>
                <w:kern w:val="0"/>
                <w:sz w:val="24"/>
              </w:rPr>
            </w:pPr>
            <w:r>
              <w:rPr>
                <w:rFonts w:hint="eastAsia" w:ascii="宋体" w:hAnsi="宋体" w:eastAsia="宋体" w:cs="宋体"/>
                <w:b w:val="0"/>
                <w:bCs w:val="0"/>
                <w:color w:val="000000"/>
                <w:kern w:val="0"/>
                <w:sz w:val="24"/>
              </w:rPr>
              <w:t>呼和浩特市</w:t>
            </w:r>
          </w:p>
        </w:tc>
        <w:tc>
          <w:tcPr>
            <w:tcW w:w="2200"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0"/>
                <w:sz w:val="24"/>
              </w:rPr>
            </w:pPr>
            <w:r>
              <w:rPr>
                <w:rFonts w:hint="eastAsia" w:ascii="宋体" w:hAnsi="宋体" w:eastAsia="宋体" w:cs="宋体"/>
                <w:b w:val="0"/>
                <w:bCs w:val="0"/>
                <w:color w:val="000000"/>
                <w:kern w:val="0"/>
                <w:sz w:val="24"/>
              </w:rPr>
              <w:t>60</w:t>
            </w:r>
          </w:p>
        </w:tc>
        <w:tc>
          <w:tcPr>
            <w:tcW w:w="2583"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0"/>
                <w:sz w:val="24"/>
              </w:rPr>
            </w:pPr>
            <w:r>
              <w:rPr>
                <w:rFonts w:hint="eastAsia" w:ascii="宋体" w:hAnsi="宋体" w:eastAsia="宋体" w:cs="宋体"/>
                <w:b w:val="0"/>
                <w:bCs w:val="0"/>
                <w:color w:val="000000"/>
                <w:kern w:val="0"/>
                <w:sz w:val="24"/>
              </w:rPr>
              <w:t>呼伦贝尔市</w:t>
            </w:r>
          </w:p>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（含满洲里市）</w:t>
            </w:r>
          </w:p>
        </w:tc>
        <w:tc>
          <w:tcPr>
            <w:tcW w:w="2196"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95" w:type="dxa"/>
            <w:noWrap w:val="0"/>
            <w:vAlign w:val="center"/>
          </w:tcPr>
          <w:p>
            <w:pPr>
              <w:snapToGrid w:val="0"/>
              <w:spacing w:line="240" w:lineRule="auto"/>
              <w:ind w:firstLine="0" w:firstLineChars="0"/>
              <w:jc w:val="center"/>
              <w:rPr>
                <w:rFonts w:hint="eastAsia" w:ascii="宋体" w:hAnsi="宋体" w:eastAsia="宋体" w:cs="宋体"/>
                <w:b w:val="0"/>
                <w:bCs w:val="0"/>
                <w:snapToGrid w:val="0"/>
                <w:color w:val="000000"/>
                <w:kern w:val="0"/>
                <w:sz w:val="24"/>
              </w:rPr>
            </w:pPr>
            <w:r>
              <w:rPr>
                <w:rFonts w:hint="eastAsia" w:ascii="宋体" w:hAnsi="宋体" w:eastAsia="宋体" w:cs="宋体"/>
                <w:b w:val="0"/>
                <w:bCs w:val="0"/>
                <w:color w:val="000000"/>
                <w:kern w:val="0"/>
                <w:sz w:val="24"/>
              </w:rPr>
              <w:t>包</w:t>
            </w:r>
            <w:r>
              <w:rPr>
                <w:rFonts w:hint="eastAsia" w:ascii="宋体" w:hAnsi="宋体" w:eastAsia="宋体" w:cs="宋体"/>
                <w:b w:val="0"/>
                <w:bCs w:val="0"/>
                <w:color w:val="000000"/>
                <w:kern w:val="0"/>
                <w:sz w:val="24"/>
                <w:lang w:val="en-US" w:eastAsia="zh-CN"/>
              </w:rPr>
              <w:t xml:space="preserve">  </w:t>
            </w:r>
            <w:r>
              <w:rPr>
                <w:rFonts w:hint="eastAsia" w:ascii="宋体" w:hAnsi="宋体" w:eastAsia="宋体" w:cs="宋体"/>
                <w:b w:val="0"/>
                <w:bCs w:val="0"/>
                <w:color w:val="000000"/>
                <w:kern w:val="0"/>
                <w:sz w:val="24"/>
              </w:rPr>
              <w:t>头</w:t>
            </w:r>
            <w:r>
              <w:rPr>
                <w:rFonts w:hint="eastAsia" w:ascii="宋体" w:hAnsi="宋体" w:eastAsia="宋体" w:cs="宋体"/>
                <w:b w:val="0"/>
                <w:bCs w:val="0"/>
                <w:color w:val="000000"/>
                <w:kern w:val="0"/>
                <w:sz w:val="24"/>
                <w:lang w:val="en-US" w:eastAsia="zh-CN"/>
              </w:rPr>
              <w:t xml:space="preserve">  </w:t>
            </w:r>
            <w:r>
              <w:rPr>
                <w:rFonts w:hint="eastAsia" w:ascii="宋体" w:hAnsi="宋体" w:eastAsia="宋体" w:cs="宋体"/>
                <w:b w:val="0"/>
                <w:bCs w:val="0"/>
                <w:color w:val="000000"/>
                <w:kern w:val="0"/>
                <w:sz w:val="24"/>
              </w:rPr>
              <w:t>市</w:t>
            </w:r>
          </w:p>
        </w:tc>
        <w:tc>
          <w:tcPr>
            <w:tcW w:w="2200"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0"/>
                <w:sz w:val="24"/>
              </w:rPr>
            </w:pPr>
            <w:r>
              <w:rPr>
                <w:rFonts w:hint="eastAsia" w:ascii="宋体" w:hAnsi="宋体" w:eastAsia="宋体" w:cs="宋体"/>
                <w:b w:val="0"/>
                <w:bCs w:val="0"/>
                <w:color w:val="000000"/>
                <w:kern w:val="0"/>
                <w:sz w:val="24"/>
              </w:rPr>
              <w:t>90</w:t>
            </w:r>
          </w:p>
        </w:tc>
        <w:tc>
          <w:tcPr>
            <w:tcW w:w="2583"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巴彦淖尔市</w:t>
            </w:r>
          </w:p>
        </w:tc>
        <w:tc>
          <w:tcPr>
            <w:tcW w:w="2196"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95" w:type="dxa"/>
            <w:noWrap w:val="0"/>
            <w:vAlign w:val="center"/>
          </w:tcPr>
          <w:p>
            <w:pPr>
              <w:snapToGrid w:val="0"/>
              <w:spacing w:line="240" w:lineRule="auto"/>
              <w:ind w:firstLine="0" w:firstLineChars="0"/>
              <w:jc w:val="center"/>
              <w:rPr>
                <w:rFonts w:hint="eastAsia" w:ascii="宋体" w:hAnsi="宋体" w:eastAsia="宋体" w:cs="宋体"/>
                <w:b w:val="0"/>
                <w:bCs w:val="0"/>
                <w:snapToGrid w:val="0"/>
                <w:color w:val="000000"/>
                <w:kern w:val="0"/>
                <w:sz w:val="24"/>
              </w:rPr>
            </w:pPr>
            <w:r>
              <w:rPr>
                <w:rFonts w:hint="eastAsia" w:ascii="宋体" w:hAnsi="宋体" w:eastAsia="宋体" w:cs="宋体"/>
                <w:b w:val="0"/>
                <w:bCs w:val="0"/>
                <w:color w:val="000000"/>
                <w:kern w:val="0"/>
                <w:sz w:val="24"/>
              </w:rPr>
              <w:t>乌</w:t>
            </w:r>
            <w:r>
              <w:rPr>
                <w:rFonts w:hint="eastAsia" w:ascii="宋体" w:hAnsi="宋体" w:eastAsia="宋体" w:cs="宋体"/>
                <w:b w:val="0"/>
                <w:bCs w:val="0"/>
                <w:color w:val="000000"/>
                <w:kern w:val="0"/>
                <w:sz w:val="24"/>
                <w:lang w:val="en-US" w:eastAsia="zh-CN"/>
              </w:rPr>
              <w:t xml:space="preserve">  </w:t>
            </w:r>
            <w:r>
              <w:rPr>
                <w:rFonts w:hint="eastAsia" w:ascii="宋体" w:hAnsi="宋体" w:eastAsia="宋体" w:cs="宋体"/>
                <w:b w:val="0"/>
                <w:bCs w:val="0"/>
                <w:color w:val="000000"/>
                <w:kern w:val="0"/>
                <w:sz w:val="24"/>
              </w:rPr>
              <w:t>海</w:t>
            </w:r>
            <w:r>
              <w:rPr>
                <w:rFonts w:hint="eastAsia" w:ascii="宋体" w:hAnsi="宋体" w:eastAsia="宋体" w:cs="宋体"/>
                <w:b w:val="0"/>
                <w:bCs w:val="0"/>
                <w:color w:val="000000"/>
                <w:kern w:val="0"/>
                <w:sz w:val="24"/>
                <w:lang w:val="en-US" w:eastAsia="zh-CN"/>
              </w:rPr>
              <w:t xml:space="preserve">  </w:t>
            </w:r>
            <w:r>
              <w:rPr>
                <w:rFonts w:hint="eastAsia" w:ascii="宋体" w:hAnsi="宋体" w:eastAsia="宋体" w:cs="宋体"/>
                <w:b w:val="0"/>
                <w:bCs w:val="0"/>
                <w:color w:val="000000"/>
                <w:kern w:val="0"/>
                <w:sz w:val="24"/>
              </w:rPr>
              <w:t>市</w:t>
            </w:r>
          </w:p>
        </w:tc>
        <w:tc>
          <w:tcPr>
            <w:tcW w:w="2200"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0"/>
                <w:sz w:val="24"/>
              </w:rPr>
            </w:pPr>
            <w:r>
              <w:rPr>
                <w:rFonts w:hint="eastAsia" w:ascii="宋体" w:hAnsi="宋体" w:eastAsia="宋体" w:cs="宋体"/>
                <w:b w:val="0"/>
                <w:bCs w:val="0"/>
                <w:color w:val="000000"/>
                <w:kern w:val="0"/>
                <w:sz w:val="24"/>
              </w:rPr>
              <w:t>50</w:t>
            </w:r>
          </w:p>
        </w:tc>
        <w:tc>
          <w:tcPr>
            <w:tcW w:w="2583"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乌兰察布市</w:t>
            </w:r>
          </w:p>
        </w:tc>
        <w:tc>
          <w:tcPr>
            <w:tcW w:w="2196"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95" w:type="dxa"/>
            <w:noWrap w:val="0"/>
            <w:vAlign w:val="center"/>
          </w:tcPr>
          <w:p>
            <w:pPr>
              <w:snapToGrid w:val="0"/>
              <w:spacing w:line="240" w:lineRule="auto"/>
              <w:ind w:firstLine="0" w:firstLineChars="0"/>
              <w:jc w:val="center"/>
              <w:rPr>
                <w:rFonts w:hint="eastAsia" w:ascii="宋体" w:hAnsi="宋体" w:eastAsia="宋体" w:cs="宋体"/>
                <w:b w:val="0"/>
                <w:bCs w:val="0"/>
                <w:snapToGrid w:val="0"/>
                <w:color w:val="000000"/>
                <w:kern w:val="0"/>
                <w:sz w:val="24"/>
              </w:rPr>
            </w:pPr>
            <w:r>
              <w:rPr>
                <w:rFonts w:hint="eastAsia" w:ascii="宋体" w:hAnsi="宋体" w:eastAsia="宋体" w:cs="宋体"/>
                <w:b w:val="0"/>
                <w:bCs w:val="0"/>
                <w:color w:val="000000"/>
                <w:kern w:val="0"/>
                <w:sz w:val="24"/>
              </w:rPr>
              <w:t>赤</w:t>
            </w:r>
            <w:r>
              <w:rPr>
                <w:rFonts w:hint="eastAsia" w:ascii="宋体" w:hAnsi="宋体" w:eastAsia="宋体" w:cs="宋体"/>
                <w:b w:val="0"/>
                <w:bCs w:val="0"/>
                <w:color w:val="000000"/>
                <w:kern w:val="0"/>
                <w:sz w:val="24"/>
                <w:lang w:val="en-US" w:eastAsia="zh-CN"/>
              </w:rPr>
              <w:t xml:space="preserve">  </w:t>
            </w:r>
            <w:r>
              <w:rPr>
                <w:rFonts w:hint="eastAsia" w:ascii="宋体" w:hAnsi="宋体" w:eastAsia="宋体" w:cs="宋体"/>
                <w:b w:val="0"/>
                <w:bCs w:val="0"/>
                <w:color w:val="000000"/>
                <w:kern w:val="0"/>
                <w:sz w:val="24"/>
              </w:rPr>
              <w:t>峰</w:t>
            </w:r>
            <w:r>
              <w:rPr>
                <w:rFonts w:hint="eastAsia" w:ascii="宋体" w:hAnsi="宋体" w:eastAsia="宋体" w:cs="宋体"/>
                <w:b w:val="0"/>
                <w:bCs w:val="0"/>
                <w:color w:val="000000"/>
                <w:kern w:val="0"/>
                <w:sz w:val="24"/>
                <w:lang w:val="en-US" w:eastAsia="zh-CN"/>
              </w:rPr>
              <w:t xml:space="preserve">  </w:t>
            </w:r>
            <w:r>
              <w:rPr>
                <w:rFonts w:hint="eastAsia" w:ascii="宋体" w:hAnsi="宋体" w:eastAsia="宋体" w:cs="宋体"/>
                <w:b w:val="0"/>
                <w:bCs w:val="0"/>
                <w:color w:val="000000"/>
                <w:kern w:val="0"/>
                <w:sz w:val="24"/>
              </w:rPr>
              <w:t>市</w:t>
            </w:r>
          </w:p>
        </w:tc>
        <w:tc>
          <w:tcPr>
            <w:tcW w:w="2200"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0"/>
                <w:sz w:val="24"/>
              </w:rPr>
            </w:pPr>
            <w:r>
              <w:rPr>
                <w:rFonts w:hint="eastAsia" w:ascii="宋体" w:hAnsi="宋体" w:eastAsia="宋体" w:cs="宋体"/>
                <w:b w:val="0"/>
                <w:bCs w:val="0"/>
                <w:color w:val="000000"/>
                <w:kern w:val="0"/>
                <w:sz w:val="24"/>
              </w:rPr>
              <w:t>680</w:t>
            </w:r>
          </w:p>
        </w:tc>
        <w:tc>
          <w:tcPr>
            <w:tcW w:w="2583"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兴</w:t>
            </w:r>
            <w:r>
              <w:rPr>
                <w:rFonts w:hint="eastAsia" w:ascii="宋体" w:hAnsi="宋体" w:eastAsia="宋体" w:cs="宋体"/>
                <w:b w:val="0"/>
                <w:bCs w:val="0"/>
                <w:color w:val="000000"/>
                <w:kern w:val="0"/>
                <w:sz w:val="24"/>
                <w:lang w:val="en-US" w:eastAsia="zh-CN"/>
              </w:rPr>
              <w:t xml:space="preserve">  </w:t>
            </w:r>
            <w:r>
              <w:rPr>
                <w:rFonts w:hint="eastAsia" w:ascii="宋体" w:hAnsi="宋体" w:eastAsia="宋体" w:cs="宋体"/>
                <w:b w:val="0"/>
                <w:bCs w:val="0"/>
                <w:color w:val="000000"/>
                <w:kern w:val="0"/>
                <w:sz w:val="24"/>
              </w:rPr>
              <w:t>安</w:t>
            </w:r>
            <w:r>
              <w:rPr>
                <w:rFonts w:hint="eastAsia" w:ascii="宋体" w:hAnsi="宋体" w:eastAsia="宋体" w:cs="宋体"/>
                <w:b w:val="0"/>
                <w:bCs w:val="0"/>
                <w:color w:val="000000"/>
                <w:kern w:val="0"/>
                <w:sz w:val="24"/>
                <w:lang w:val="en-US" w:eastAsia="zh-CN"/>
              </w:rPr>
              <w:t xml:space="preserve">  </w:t>
            </w:r>
            <w:r>
              <w:rPr>
                <w:rFonts w:hint="eastAsia" w:ascii="宋体" w:hAnsi="宋体" w:eastAsia="宋体" w:cs="宋体"/>
                <w:b w:val="0"/>
                <w:bCs w:val="0"/>
                <w:color w:val="000000"/>
                <w:kern w:val="0"/>
                <w:sz w:val="24"/>
              </w:rPr>
              <w:t>盟</w:t>
            </w:r>
          </w:p>
        </w:tc>
        <w:tc>
          <w:tcPr>
            <w:tcW w:w="2196"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95" w:type="dxa"/>
            <w:noWrap w:val="0"/>
            <w:vAlign w:val="center"/>
          </w:tcPr>
          <w:p>
            <w:pPr>
              <w:snapToGrid w:val="0"/>
              <w:spacing w:line="240" w:lineRule="auto"/>
              <w:ind w:firstLine="0" w:firstLineChars="0"/>
              <w:jc w:val="center"/>
              <w:rPr>
                <w:rFonts w:hint="eastAsia" w:ascii="宋体" w:hAnsi="宋体" w:eastAsia="宋体" w:cs="宋体"/>
                <w:b w:val="0"/>
                <w:bCs w:val="0"/>
                <w:snapToGrid w:val="0"/>
                <w:color w:val="000000"/>
                <w:kern w:val="0"/>
                <w:sz w:val="24"/>
              </w:rPr>
            </w:pPr>
            <w:r>
              <w:rPr>
                <w:rFonts w:hint="eastAsia" w:ascii="宋体" w:hAnsi="宋体" w:eastAsia="宋体" w:cs="宋体"/>
                <w:b w:val="0"/>
                <w:bCs w:val="0"/>
                <w:color w:val="000000"/>
                <w:kern w:val="0"/>
                <w:sz w:val="24"/>
              </w:rPr>
              <w:t>通</w:t>
            </w:r>
            <w:r>
              <w:rPr>
                <w:rFonts w:hint="eastAsia" w:ascii="宋体" w:hAnsi="宋体" w:eastAsia="宋体" w:cs="宋体"/>
                <w:b w:val="0"/>
                <w:bCs w:val="0"/>
                <w:color w:val="000000"/>
                <w:kern w:val="0"/>
                <w:sz w:val="24"/>
                <w:lang w:val="en-US" w:eastAsia="zh-CN"/>
              </w:rPr>
              <w:t xml:space="preserve">  </w:t>
            </w:r>
            <w:r>
              <w:rPr>
                <w:rFonts w:hint="eastAsia" w:ascii="宋体" w:hAnsi="宋体" w:eastAsia="宋体" w:cs="宋体"/>
                <w:b w:val="0"/>
                <w:bCs w:val="0"/>
                <w:color w:val="000000"/>
                <w:kern w:val="0"/>
                <w:sz w:val="24"/>
              </w:rPr>
              <w:t>辽</w:t>
            </w:r>
            <w:r>
              <w:rPr>
                <w:rFonts w:hint="eastAsia" w:ascii="宋体" w:hAnsi="宋体" w:eastAsia="宋体" w:cs="宋体"/>
                <w:b w:val="0"/>
                <w:bCs w:val="0"/>
                <w:color w:val="000000"/>
                <w:kern w:val="0"/>
                <w:sz w:val="24"/>
                <w:lang w:val="en-US" w:eastAsia="zh-CN"/>
              </w:rPr>
              <w:t xml:space="preserve">  </w:t>
            </w:r>
            <w:r>
              <w:rPr>
                <w:rFonts w:hint="eastAsia" w:ascii="宋体" w:hAnsi="宋体" w:eastAsia="宋体" w:cs="宋体"/>
                <w:b w:val="0"/>
                <w:bCs w:val="0"/>
                <w:color w:val="000000"/>
                <w:kern w:val="0"/>
                <w:sz w:val="24"/>
              </w:rPr>
              <w:t>市</w:t>
            </w:r>
          </w:p>
        </w:tc>
        <w:tc>
          <w:tcPr>
            <w:tcW w:w="2200"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0"/>
                <w:sz w:val="24"/>
              </w:rPr>
            </w:pPr>
            <w:r>
              <w:rPr>
                <w:rFonts w:hint="eastAsia" w:ascii="宋体" w:hAnsi="宋体" w:eastAsia="宋体" w:cs="宋体"/>
                <w:b w:val="0"/>
                <w:bCs w:val="0"/>
                <w:color w:val="000000"/>
                <w:kern w:val="0"/>
                <w:sz w:val="24"/>
              </w:rPr>
              <w:t>220</w:t>
            </w:r>
          </w:p>
        </w:tc>
        <w:tc>
          <w:tcPr>
            <w:tcW w:w="2583"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0"/>
                <w:sz w:val="24"/>
              </w:rPr>
            </w:pPr>
            <w:r>
              <w:rPr>
                <w:rFonts w:hint="eastAsia" w:ascii="宋体" w:hAnsi="宋体" w:eastAsia="宋体" w:cs="宋体"/>
                <w:b w:val="0"/>
                <w:bCs w:val="0"/>
                <w:color w:val="000000"/>
                <w:kern w:val="0"/>
                <w:sz w:val="24"/>
              </w:rPr>
              <w:t>锡林郭勒盟</w:t>
            </w:r>
          </w:p>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（含二连浩特市）</w:t>
            </w:r>
          </w:p>
        </w:tc>
        <w:tc>
          <w:tcPr>
            <w:tcW w:w="2196"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95" w:type="dxa"/>
            <w:noWrap w:val="0"/>
            <w:vAlign w:val="center"/>
          </w:tcPr>
          <w:p>
            <w:pPr>
              <w:snapToGrid w:val="0"/>
              <w:spacing w:line="240" w:lineRule="auto"/>
              <w:ind w:firstLine="0" w:firstLineChars="0"/>
              <w:jc w:val="center"/>
              <w:rPr>
                <w:rFonts w:hint="eastAsia" w:ascii="宋体" w:hAnsi="宋体" w:eastAsia="宋体" w:cs="宋体"/>
                <w:b w:val="0"/>
                <w:bCs w:val="0"/>
                <w:snapToGrid w:val="0"/>
                <w:color w:val="000000"/>
                <w:kern w:val="0"/>
                <w:sz w:val="24"/>
              </w:rPr>
            </w:pPr>
            <w:r>
              <w:rPr>
                <w:rFonts w:hint="eastAsia" w:ascii="宋体" w:hAnsi="宋体" w:eastAsia="宋体" w:cs="宋体"/>
                <w:b w:val="0"/>
                <w:bCs w:val="0"/>
                <w:color w:val="000000"/>
                <w:kern w:val="0"/>
                <w:sz w:val="24"/>
              </w:rPr>
              <w:t>鄂尔多斯市</w:t>
            </w:r>
          </w:p>
        </w:tc>
        <w:tc>
          <w:tcPr>
            <w:tcW w:w="2200"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0"/>
                <w:sz w:val="24"/>
              </w:rPr>
            </w:pPr>
            <w:r>
              <w:rPr>
                <w:rFonts w:hint="eastAsia" w:ascii="宋体" w:hAnsi="宋体" w:eastAsia="宋体" w:cs="宋体"/>
                <w:b w:val="0"/>
                <w:bCs w:val="0"/>
                <w:color w:val="000000"/>
                <w:kern w:val="0"/>
                <w:sz w:val="24"/>
              </w:rPr>
              <w:t>600</w:t>
            </w:r>
          </w:p>
        </w:tc>
        <w:tc>
          <w:tcPr>
            <w:tcW w:w="2583"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0"/>
                <w:sz w:val="24"/>
              </w:rPr>
            </w:pPr>
            <w:r>
              <w:rPr>
                <w:rFonts w:hint="eastAsia" w:ascii="宋体" w:hAnsi="宋体" w:eastAsia="宋体" w:cs="宋体"/>
                <w:b w:val="0"/>
                <w:bCs w:val="0"/>
                <w:color w:val="000000"/>
                <w:spacing w:val="28"/>
                <w:kern w:val="0"/>
                <w:sz w:val="24"/>
              </w:rPr>
              <w:t>阿拉善盟</w:t>
            </w:r>
          </w:p>
        </w:tc>
        <w:tc>
          <w:tcPr>
            <w:tcW w:w="2196" w:type="dxa"/>
            <w:noWrap w:val="0"/>
            <w:vAlign w:val="center"/>
          </w:tcPr>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95" w:type="dxa"/>
            <w:noWrap w:val="0"/>
            <w:vAlign w:val="center"/>
          </w:tcPr>
          <w:p>
            <w:pPr>
              <w:snapToGrid w:val="0"/>
              <w:spacing w:line="240" w:lineRule="auto"/>
              <w:ind w:firstLine="0" w:firstLineChars="0"/>
              <w:jc w:val="center"/>
              <w:rPr>
                <w:rFonts w:hint="eastAsia" w:ascii="宋体" w:hAnsi="宋体" w:eastAsia="宋体" w:cs="宋体"/>
                <w:b w:val="0"/>
                <w:bCs w:val="0"/>
                <w:snapToGrid w:val="0"/>
                <w:color w:val="000000"/>
                <w:kern w:val="0"/>
                <w:sz w:val="24"/>
              </w:rPr>
            </w:pPr>
            <w:r>
              <w:rPr>
                <w:rFonts w:hint="eastAsia" w:ascii="宋体" w:hAnsi="宋体" w:eastAsia="宋体" w:cs="宋体"/>
                <w:b w:val="0"/>
                <w:bCs w:val="0"/>
                <w:color w:val="000000"/>
                <w:kern w:val="0"/>
                <w:sz w:val="24"/>
              </w:rPr>
              <w:t>合</w:t>
            </w:r>
            <w:r>
              <w:rPr>
                <w:rFonts w:hint="eastAsia" w:ascii="宋体" w:hAnsi="宋体" w:eastAsia="宋体" w:cs="宋体"/>
                <w:b w:val="0"/>
                <w:bCs w:val="0"/>
                <w:color w:val="000000"/>
                <w:kern w:val="0"/>
                <w:sz w:val="24"/>
                <w:lang w:val="en-US" w:eastAsia="zh-CN"/>
              </w:rPr>
              <w:t xml:space="preserve">  </w:t>
            </w:r>
            <w:r>
              <w:rPr>
                <w:rFonts w:hint="eastAsia" w:ascii="宋体" w:hAnsi="宋体" w:eastAsia="宋体" w:cs="宋体"/>
                <w:b w:val="0"/>
                <w:bCs w:val="0"/>
                <w:color w:val="000000"/>
                <w:kern w:val="0"/>
                <w:sz w:val="24"/>
              </w:rPr>
              <w:t>计</w:t>
            </w:r>
          </w:p>
        </w:tc>
        <w:tc>
          <w:tcPr>
            <w:tcW w:w="6979" w:type="dxa"/>
            <w:gridSpan w:val="3"/>
            <w:noWrap w:val="0"/>
            <w:vAlign w:val="center"/>
          </w:tcPr>
          <w:p>
            <w:pPr>
              <w:snapToGrid w:val="0"/>
              <w:spacing w:line="240" w:lineRule="auto"/>
              <w:ind w:firstLine="0" w:firstLineChars="0"/>
              <w:jc w:val="center"/>
              <w:rPr>
                <w:rFonts w:hint="eastAsia" w:ascii="宋体" w:hAnsi="宋体" w:eastAsia="宋体" w:cs="宋体"/>
                <w:b w:val="0"/>
                <w:bCs w:val="0"/>
                <w:color w:val="000000"/>
                <w:kern w:val="24"/>
                <w:sz w:val="24"/>
              </w:rPr>
            </w:pPr>
            <w:r>
              <w:rPr>
                <w:rFonts w:hint="eastAsia" w:ascii="宋体" w:hAnsi="宋体" w:eastAsia="宋体" w:cs="宋体"/>
                <w:b w:val="0"/>
                <w:bCs w:val="0"/>
                <w:color w:val="000000"/>
                <w:kern w:val="0"/>
                <w:sz w:val="24"/>
              </w:rPr>
              <w:t>＜2900</w:t>
            </w:r>
          </w:p>
        </w:tc>
      </w:tr>
    </w:tbl>
    <w:p>
      <w:pPr>
        <w:spacing w:line="120" w:lineRule="exact"/>
        <w:ind w:firstLine="640"/>
        <w:rPr>
          <w:rFonts w:hint="eastAsia" w:ascii="方正仿宋_GBK" w:hAnsi="方正仿宋_GBK" w:eastAsia="方正仿宋_GBK" w:cs="方正仿宋_GBK"/>
          <w:b w:val="0"/>
          <w:bCs w:val="0"/>
          <w:color w:val="000000"/>
          <w:sz w:val="32"/>
          <w:szCs w:val="32"/>
        </w:rPr>
      </w:pPr>
    </w:p>
    <w:p>
      <w:pPr>
        <w:keepNext w:val="0"/>
        <w:keepLines w:val="0"/>
        <w:pageBreakBefore w:val="0"/>
        <w:widowControl w:val="0"/>
        <w:kinsoku/>
        <w:wordWrap/>
        <w:overflowPunct/>
        <w:topLinePunct/>
        <w:autoSpaceDE/>
        <w:autoSpaceDN/>
        <w:bidi w:val="0"/>
        <w:adjustRightInd/>
        <w:spacing w:line="58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pacing w:val="0"/>
          <w:sz w:val="32"/>
          <w:szCs w:val="32"/>
        </w:rPr>
        <w:t>盟市要确定普通建筑用砂石土矿采矿权数量和开采总量，对所辖旗县</w:t>
      </w:r>
      <w:r>
        <w:rPr>
          <w:rFonts w:hint="eastAsia" w:ascii="方正仿宋_GBK" w:hAnsi="方正仿宋_GBK" w:eastAsia="方正仿宋_GBK" w:cs="方正仿宋_GBK"/>
          <w:b w:val="0"/>
          <w:bCs w:val="0"/>
          <w:color w:val="000000"/>
          <w:spacing w:val="0"/>
          <w:sz w:val="32"/>
          <w:szCs w:val="32"/>
          <w:lang w:eastAsia="zh-CN"/>
        </w:rPr>
        <w:t>（市、区）</w:t>
      </w:r>
      <w:r>
        <w:rPr>
          <w:rFonts w:hint="eastAsia" w:ascii="方正仿宋_GBK" w:hAnsi="方正仿宋_GBK" w:eastAsia="方正仿宋_GBK" w:cs="方正仿宋_GBK"/>
          <w:b w:val="0"/>
          <w:bCs w:val="0"/>
          <w:color w:val="000000"/>
          <w:spacing w:val="0"/>
          <w:sz w:val="32"/>
          <w:szCs w:val="32"/>
        </w:rPr>
        <w:t>进行指标分解，采矿权投放不得突破规划控制数量。着力提升普通建筑用砂石土开发规模和水平，通过资源整合、淘汰落后矿山、清退“僵尸”矿山，</w:t>
      </w:r>
      <w:r>
        <w:rPr>
          <w:rFonts w:hint="eastAsia" w:ascii="方正仿宋_GBK" w:hAnsi="方正仿宋_GBK" w:eastAsia="方正仿宋_GBK" w:cs="方正仿宋_GBK"/>
          <w:b w:val="0"/>
          <w:bCs w:val="0"/>
          <w:color w:val="000000"/>
          <w:spacing w:val="6"/>
          <w:sz w:val="32"/>
          <w:szCs w:val="32"/>
        </w:rPr>
        <w:t>实现普通建筑用砂石土矿山数量减少</w:t>
      </w:r>
      <w:r>
        <w:rPr>
          <w:rFonts w:hint="eastAsia" w:ascii="方正仿宋_GBK" w:hAnsi="方正仿宋_GBK" w:eastAsia="方正仿宋_GBK" w:cs="方正仿宋_GBK"/>
          <w:b w:val="0"/>
          <w:bCs w:val="0"/>
          <w:color w:val="000000"/>
          <w:spacing w:val="6"/>
          <w:sz w:val="32"/>
          <w:szCs w:val="32"/>
          <w:lang w:eastAsia="zh-CN"/>
        </w:rPr>
        <w:t>；</w:t>
      </w:r>
      <w:r>
        <w:rPr>
          <w:rFonts w:hint="eastAsia" w:ascii="方正仿宋_GBK" w:hAnsi="方正仿宋_GBK" w:eastAsia="方正仿宋_GBK" w:cs="方正仿宋_GBK"/>
          <w:b w:val="0"/>
          <w:bCs w:val="0"/>
          <w:color w:val="000000"/>
          <w:spacing w:val="6"/>
          <w:sz w:val="32"/>
          <w:szCs w:val="32"/>
        </w:rPr>
        <w:t>通过提高新建矿山准入规模，严控新建矿山数量。</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112" w:name="_Toc69227002"/>
      <w:bookmarkStart w:id="113" w:name="_Toc60502811"/>
      <w:bookmarkStart w:id="114" w:name="_Toc71799474"/>
      <w:bookmarkStart w:id="115" w:name="_Toc90371311"/>
      <w:r>
        <w:rPr>
          <w:rFonts w:hint="eastAsia" w:ascii="方正楷体_GBK" w:hAnsi="方正楷体_GBK" w:eastAsia="方正楷体_GBK" w:cs="方正楷体_GBK"/>
          <w:b w:val="0"/>
          <w:bCs w:val="0"/>
          <w:color w:val="000000"/>
        </w:rPr>
        <w:t>第三节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 xml:space="preserve"> 全面提高矿产资源利用效率</w:t>
      </w:r>
      <w:bookmarkEnd w:id="112"/>
      <w:bookmarkEnd w:id="113"/>
      <w:bookmarkEnd w:id="114"/>
      <w:bookmarkEnd w:id="115"/>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szCs w:val="32"/>
        </w:rPr>
      </w:pPr>
      <w:bookmarkStart w:id="116" w:name="_Toc71813458"/>
      <w:bookmarkStart w:id="117" w:name="_Toc71799673"/>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提高矿产资源节约与综合利用水平</w:t>
      </w:r>
      <w:bookmarkEnd w:id="116"/>
      <w:bookmarkEnd w:id="117"/>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严格执行</w:t>
      </w:r>
      <w:r>
        <w:rPr>
          <w:rFonts w:hint="eastAsia" w:ascii="方正仿宋_GBK" w:hAnsi="方正仿宋_GBK" w:eastAsia="方正仿宋_GBK" w:cs="方正仿宋_GBK"/>
          <w:b w:val="0"/>
          <w:bCs w:val="0"/>
          <w:color w:val="000000"/>
          <w:sz w:val="32"/>
          <w:szCs w:val="32"/>
        </w:rPr>
        <w:t>《矿产资源节约和综合利用先进适用技术目录》</w:t>
      </w:r>
      <w:r>
        <w:rPr>
          <w:rFonts w:hint="eastAsia" w:ascii="方正仿宋_GBK" w:hAnsi="方正仿宋_GBK" w:eastAsia="方正仿宋_GBK" w:cs="方正仿宋_GBK"/>
          <w:b w:val="0"/>
          <w:bCs w:val="0"/>
          <w:snapToGrid w:val="0"/>
          <w:color w:val="000000"/>
          <w:kern w:val="0"/>
          <w:sz w:val="32"/>
          <w:szCs w:val="32"/>
        </w:rPr>
        <w:t>，鼓励实施综合勘查、综合开发，促进集约发展。提高煤炭资源回采率，鼓励煤矿企业回采边角残煤、非永久保护煤柱。加强白云鄂博</w:t>
      </w:r>
      <w:r>
        <w:rPr>
          <w:rFonts w:hint="eastAsia" w:ascii="方正仿宋_GBK" w:hAnsi="方正仿宋_GBK" w:eastAsia="方正仿宋_GBK" w:cs="方正仿宋_GBK"/>
          <w:b w:val="0"/>
          <w:bCs w:val="0"/>
          <w:sz w:val="32"/>
          <w:szCs w:val="32"/>
        </w:rPr>
        <w:t>稀土、铁、铌、钪、萤石综合回收综合利用。</w:t>
      </w:r>
      <w:r>
        <w:rPr>
          <w:rFonts w:hint="eastAsia" w:ascii="方正仿宋_GBK" w:hAnsi="方正仿宋_GBK" w:eastAsia="方正仿宋_GBK" w:cs="方正仿宋_GBK"/>
          <w:b w:val="0"/>
          <w:bCs w:val="0"/>
          <w:snapToGrid w:val="0"/>
          <w:color w:val="000000"/>
          <w:kern w:val="0"/>
          <w:sz w:val="32"/>
          <w:szCs w:val="32"/>
        </w:rPr>
        <w:t>落实生产者责任延伸制，开展逆向回收网络体系建设试点，鼓励企业利用市场方式建设废钢、废铜、废铝以及废稀有金属再生资源回收利用体系示范项目，培育“互联网+回收”循环经济发展新模式。</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rPr>
        <w:t>推动煤炭清洁高效利用</w:t>
      </w:r>
      <w:r>
        <w:rPr>
          <w:rFonts w:hint="eastAsia" w:ascii="方正仿宋_GBK" w:hAnsi="方正仿宋_GBK" w:eastAsia="方正仿宋_GBK" w:cs="方正仿宋_GBK"/>
          <w:b w:val="0"/>
          <w:bCs w:val="0"/>
          <w:snapToGrid w:val="0"/>
          <w:color w:val="000000"/>
          <w:kern w:val="0"/>
          <w:sz w:val="32"/>
          <w:szCs w:val="32"/>
          <w:lang w:val="en-US" w:eastAsia="zh-CN"/>
        </w:rPr>
        <w:t>。</w:t>
      </w:r>
      <w:r>
        <w:rPr>
          <w:rFonts w:hint="eastAsia" w:ascii="方正仿宋_GBK" w:hAnsi="方正仿宋_GBK" w:eastAsia="方正仿宋_GBK" w:cs="方正仿宋_GBK"/>
          <w:b w:val="0"/>
          <w:bCs w:val="0"/>
          <w:snapToGrid w:val="0"/>
          <w:color w:val="000000"/>
          <w:kern w:val="0"/>
          <w:sz w:val="32"/>
          <w:szCs w:val="32"/>
        </w:rPr>
        <w:t>推进煤炭清洁生产，有序发展清洁高效煤电，保障呼伦贝尔</w:t>
      </w:r>
      <w:r>
        <w:rPr>
          <w:rFonts w:hint="eastAsia" w:ascii="方正仿宋_GBK" w:hAnsi="方正仿宋_GBK" w:eastAsia="方正仿宋_GBK" w:cs="方正仿宋_GBK"/>
          <w:b w:val="0"/>
          <w:bCs w:val="0"/>
          <w:snapToGrid w:val="0"/>
          <w:color w:val="000000"/>
          <w:kern w:val="0"/>
          <w:sz w:val="32"/>
          <w:szCs w:val="32"/>
          <w:lang w:eastAsia="zh-CN"/>
        </w:rPr>
        <w:t>市</w:t>
      </w:r>
      <w:r>
        <w:rPr>
          <w:rFonts w:hint="eastAsia" w:ascii="方正仿宋_GBK" w:hAnsi="方正仿宋_GBK" w:eastAsia="方正仿宋_GBK" w:cs="方正仿宋_GBK"/>
          <w:b w:val="0"/>
          <w:bCs w:val="0"/>
          <w:snapToGrid w:val="0"/>
          <w:color w:val="000000"/>
          <w:kern w:val="0"/>
          <w:sz w:val="32"/>
          <w:szCs w:val="32"/>
        </w:rPr>
        <w:t>、锡林郭勒</w:t>
      </w:r>
      <w:r>
        <w:rPr>
          <w:rFonts w:hint="eastAsia" w:ascii="方正仿宋_GBK" w:hAnsi="方正仿宋_GBK" w:eastAsia="方正仿宋_GBK" w:cs="方正仿宋_GBK"/>
          <w:b w:val="0"/>
          <w:bCs w:val="0"/>
          <w:snapToGrid w:val="0"/>
          <w:color w:val="000000"/>
          <w:kern w:val="0"/>
          <w:sz w:val="32"/>
          <w:szCs w:val="32"/>
          <w:lang w:eastAsia="zh-CN"/>
        </w:rPr>
        <w:t>盟</w:t>
      </w:r>
      <w:r>
        <w:rPr>
          <w:rFonts w:hint="eastAsia" w:ascii="方正仿宋_GBK" w:hAnsi="方正仿宋_GBK" w:eastAsia="方正仿宋_GBK" w:cs="方正仿宋_GBK"/>
          <w:b w:val="0"/>
          <w:bCs w:val="0"/>
          <w:snapToGrid w:val="0"/>
          <w:color w:val="000000"/>
          <w:kern w:val="0"/>
          <w:sz w:val="32"/>
          <w:szCs w:val="32"/>
        </w:rPr>
        <w:t>、鄂尔多斯</w:t>
      </w:r>
      <w:r>
        <w:rPr>
          <w:rFonts w:hint="eastAsia" w:ascii="方正仿宋_GBK" w:hAnsi="方正仿宋_GBK" w:eastAsia="方正仿宋_GBK" w:cs="方正仿宋_GBK"/>
          <w:b w:val="0"/>
          <w:bCs w:val="0"/>
          <w:snapToGrid w:val="0"/>
          <w:color w:val="000000"/>
          <w:kern w:val="0"/>
          <w:sz w:val="32"/>
          <w:szCs w:val="32"/>
          <w:lang w:eastAsia="zh-CN"/>
        </w:rPr>
        <w:t>市</w:t>
      </w:r>
      <w:r>
        <w:rPr>
          <w:rFonts w:hint="eastAsia" w:ascii="方正仿宋_GBK" w:hAnsi="方正仿宋_GBK" w:eastAsia="方正仿宋_GBK" w:cs="方正仿宋_GBK"/>
          <w:b w:val="0"/>
          <w:bCs w:val="0"/>
          <w:snapToGrid w:val="0"/>
          <w:color w:val="000000"/>
          <w:kern w:val="0"/>
          <w:sz w:val="32"/>
          <w:szCs w:val="32"/>
        </w:rPr>
        <w:t>三大煤电基地坑口电站群、特高压外输电力通道配套煤电电源点的煤炭供给，保障现代煤化工项目煤炭供给。以神东煤炭基地为核心，壮大现代煤化工、煤焦化、氯碱化工和装备制造等特色工业循环经济产业集群，强化循环经济产业链条纵横延伸。推进煤炭分级分质梯级利用，资源化利用煤矸石、洗中煤、煤泥等固体废物。积极推进粉煤灰在建筑材料、土壤改良等方面的综合利用，开展褐煤、低阶煤制氢和热解综合利用工业化示范。综合开发利用煤共伴生资源，保护性开发准格尔矿区富铝煤，推动粉煤灰提取氧化铝示范项目建设。</w:t>
      </w:r>
      <w:r>
        <w:rPr>
          <w:rFonts w:hint="eastAsia" w:ascii="方正仿宋_GBK" w:hAnsi="方正仿宋_GBK" w:eastAsia="方正仿宋_GBK" w:cs="方正仿宋_GBK"/>
          <w:b w:val="0"/>
          <w:bCs w:val="0"/>
          <w:sz w:val="32"/>
          <w:szCs w:val="32"/>
        </w:rPr>
        <w:t>积极拓展煤矿瓦斯利用方式，大幅度提高瓦斯利用率。</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lang w:val="en-US" w:eastAsia="zh-CN"/>
        </w:rPr>
        <w:t>3.</w:t>
      </w:r>
      <w:r>
        <w:rPr>
          <w:rFonts w:hint="eastAsia" w:ascii="方正仿宋_GBK" w:hAnsi="方正仿宋_GBK" w:eastAsia="方正仿宋_GBK" w:cs="方正仿宋_GBK"/>
          <w:b w:val="0"/>
          <w:bCs w:val="0"/>
          <w:snapToGrid w:val="0"/>
          <w:color w:val="000000"/>
          <w:kern w:val="0"/>
          <w:sz w:val="32"/>
          <w:szCs w:val="32"/>
        </w:rPr>
        <w:t>着力加强重要矿产开发利用</w:t>
      </w:r>
      <w:r>
        <w:rPr>
          <w:rFonts w:hint="eastAsia" w:ascii="方正仿宋_GBK" w:hAnsi="方正仿宋_GBK" w:eastAsia="方正仿宋_GBK" w:cs="方正仿宋_GBK"/>
          <w:b w:val="0"/>
          <w:bCs w:val="0"/>
          <w:snapToGrid w:val="0"/>
          <w:color w:val="000000"/>
          <w:kern w:val="0"/>
          <w:sz w:val="32"/>
          <w:szCs w:val="32"/>
          <w:lang w:val="en-US" w:eastAsia="zh-CN"/>
        </w:rPr>
        <w:t>。</w:t>
      </w:r>
      <w:r>
        <w:rPr>
          <w:rFonts w:hint="eastAsia" w:ascii="方正仿宋_GBK" w:hAnsi="方正仿宋_GBK" w:eastAsia="方正仿宋_GBK" w:cs="方正仿宋_GBK"/>
          <w:b w:val="0"/>
          <w:bCs w:val="0"/>
          <w:snapToGrid w:val="0"/>
          <w:color w:val="000000"/>
          <w:kern w:val="0"/>
          <w:sz w:val="32"/>
          <w:szCs w:val="32"/>
        </w:rPr>
        <w:t>鼓励金属矿产引进国内“采、选、冶、加”一体化高端企业，推进矿业领域产学研深度融合，支持企业牵头组建创新联合体。</w:t>
      </w:r>
      <w:r>
        <w:rPr>
          <w:rFonts w:hint="eastAsia" w:ascii="方正仿宋_GBK" w:hAnsi="方正仿宋_GBK" w:eastAsia="方正仿宋_GBK" w:cs="方正仿宋_GBK"/>
          <w:b w:val="0"/>
          <w:bCs w:val="0"/>
          <w:color w:val="000000"/>
          <w:sz w:val="32"/>
          <w:szCs w:val="32"/>
          <w:lang w:val="zh-CN"/>
        </w:rPr>
        <w:t>加大稀土元素应用研究力度，高效绿色开发白云鄂博稀土资源，提高采矿回采率、选矿回收率和综合利用率，推进稀土、铁、铌、钪等共伴生资源高效分离提取，打造勘查、开发、利用、回收全产业链。依托金、铅、锌等资源，以金属资源基地为核心，</w:t>
      </w:r>
      <w:r>
        <w:rPr>
          <w:rFonts w:hint="eastAsia" w:ascii="方正仿宋_GBK" w:hAnsi="方正仿宋_GBK" w:eastAsia="方正仿宋_GBK" w:cs="方正仿宋_GBK"/>
          <w:b w:val="0"/>
          <w:bCs w:val="0"/>
          <w:snapToGrid w:val="0"/>
          <w:color w:val="000000"/>
          <w:kern w:val="0"/>
          <w:sz w:val="32"/>
          <w:szCs w:val="32"/>
        </w:rPr>
        <w:t>打造以龙头企业为主体的有色金属整合平台，积极引进以有色金属为原辅材料的下游器件和整机制造企业，推动绿色能源产业与有色金属产业深度融合发展。</w:t>
      </w:r>
      <w:r>
        <w:rPr>
          <w:rFonts w:hint="eastAsia" w:ascii="方正仿宋_GBK" w:hAnsi="方正仿宋_GBK" w:eastAsia="方正仿宋_GBK" w:cs="方正仿宋_GBK"/>
          <w:b w:val="0"/>
          <w:bCs w:val="0"/>
          <w:color w:val="000000"/>
          <w:sz w:val="32"/>
          <w:szCs w:val="32"/>
        </w:rPr>
        <w:t>引导晶质石墨、萤石等优势非金属资源向高新技术产业发展，开发高附加值产品，大力延长产业链，扩大产业关联度，以产业集群的形式发展，力争形成自治区新的经济增长点。</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z w:val="32"/>
          <w:szCs w:val="32"/>
        </w:rPr>
      </w:pPr>
      <w:bookmarkStart w:id="118" w:name="_Toc71813459"/>
      <w:bookmarkStart w:id="119" w:name="_Toc71799674"/>
      <w:r>
        <w:rPr>
          <w:rFonts w:hint="eastAsia" w:ascii="方正仿宋_GBK" w:hAnsi="方正仿宋_GBK" w:eastAsia="方正仿宋_GBK" w:cs="方正仿宋_GBK"/>
          <w:b w:val="0"/>
          <w:bCs w:val="0"/>
          <w:snapToGrid w:val="0"/>
          <w:color w:val="000000"/>
          <w:kern w:val="0"/>
          <w:sz w:val="32"/>
          <w:szCs w:val="32"/>
          <w:lang w:val="en-US" w:eastAsia="zh-CN"/>
        </w:rPr>
        <w:t>4.</w:t>
      </w:r>
      <w:r>
        <w:rPr>
          <w:rFonts w:hint="eastAsia" w:ascii="方正仿宋_GBK" w:hAnsi="方正仿宋_GBK" w:eastAsia="方正仿宋_GBK" w:cs="方正仿宋_GBK"/>
          <w:b w:val="0"/>
          <w:bCs w:val="0"/>
          <w:snapToGrid w:val="0"/>
          <w:color w:val="000000"/>
          <w:kern w:val="0"/>
          <w:sz w:val="32"/>
          <w:szCs w:val="32"/>
        </w:rPr>
        <w:t>健全资源节约与综合利用管理制度</w:t>
      </w:r>
      <w:bookmarkEnd w:id="118"/>
      <w:bookmarkEnd w:id="119"/>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z w:val="32"/>
          <w:szCs w:val="32"/>
        </w:rPr>
        <w:t>严格矿山</w:t>
      </w:r>
      <w:r>
        <w:rPr>
          <w:rFonts w:hint="eastAsia" w:ascii="方正仿宋_GBK" w:hAnsi="方正仿宋_GBK" w:eastAsia="方正仿宋_GBK" w:cs="方正仿宋_GBK"/>
          <w:b w:val="0"/>
          <w:bCs w:val="0"/>
          <w:snapToGrid w:val="0"/>
          <w:color w:val="000000"/>
          <w:kern w:val="0"/>
          <w:sz w:val="32"/>
          <w:szCs w:val="32"/>
        </w:rPr>
        <w:t>开采回采率、采矿贫化率和选矿回收率管理，未</w:t>
      </w:r>
      <w:r>
        <w:rPr>
          <w:rFonts w:hint="eastAsia" w:ascii="方正仿宋_GBK" w:hAnsi="方正仿宋_GBK" w:eastAsia="方正仿宋_GBK" w:cs="方正仿宋_GBK"/>
          <w:b w:val="0"/>
          <w:bCs w:val="0"/>
          <w:sz w:val="32"/>
          <w:szCs w:val="32"/>
        </w:rPr>
        <w:t>达到经批准的矿山设计或开发利用方案要求，造成资源破坏的，应限期整改并处罚款，</w:t>
      </w:r>
      <w:r>
        <w:rPr>
          <w:rFonts w:hint="eastAsia" w:ascii="方正仿宋_GBK" w:hAnsi="方正仿宋_GBK" w:eastAsia="方正仿宋_GBK" w:cs="方正仿宋_GBK"/>
          <w:b w:val="0"/>
          <w:bCs w:val="0"/>
          <w:snapToGrid w:val="0"/>
          <w:color w:val="000000"/>
          <w:kern w:val="0"/>
          <w:sz w:val="32"/>
          <w:szCs w:val="32"/>
        </w:rPr>
        <w:t>情节严重的，责令停产整顿或者吊销采矿许可证</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napToGrid w:val="0"/>
          <w:color w:val="000000"/>
          <w:kern w:val="0"/>
          <w:sz w:val="32"/>
          <w:szCs w:val="32"/>
          <w:u w:val="none"/>
        </w:rPr>
        <w:t>强化对具有工业价值的共伴生矿产的利用，在技术可行、经济合理的条件下，必须综合回收；对暂时不能综合回收利用的矿产，应当采取有效</w:t>
      </w:r>
      <w:r>
        <w:rPr>
          <w:rFonts w:hint="eastAsia" w:ascii="方正仿宋_GBK" w:hAnsi="方正仿宋_GBK" w:eastAsia="方正仿宋_GBK" w:cs="方正仿宋_GBK"/>
          <w:b w:val="0"/>
          <w:bCs w:val="0"/>
          <w:snapToGrid w:val="0"/>
          <w:color w:val="000000"/>
          <w:kern w:val="0"/>
          <w:sz w:val="32"/>
          <w:szCs w:val="32"/>
          <w:u w:val="none"/>
          <w:lang w:eastAsia="zh-CN"/>
        </w:rPr>
        <w:t>的</w:t>
      </w:r>
      <w:r>
        <w:rPr>
          <w:rFonts w:hint="eastAsia" w:ascii="方正仿宋_GBK" w:hAnsi="方正仿宋_GBK" w:eastAsia="方正仿宋_GBK" w:cs="方正仿宋_GBK"/>
          <w:b w:val="0"/>
          <w:bCs w:val="0"/>
          <w:snapToGrid w:val="0"/>
          <w:color w:val="000000"/>
          <w:kern w:val="0"/>
          <w:sz w:val="32"/>
          <w:szCs w:val="32"/>
          <w:u w:val="none"/>
        </w:rPr>
        <w:t>保护措施</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napToGrid w:val="0"/>
          <w:color w:val="000000"/>
          <w:kern w:val="0"/>
          <w:sz w:val="32"/>
          <w:szCs w:val="32"/>
        </w:rPr>
        <w:t>探索支持矿山企业采用先进技术的激励政策，加大对低品位和难选冶矿产选冶技术工艺研究的财政支持力度，资源配置向节约与综合利用水平先进的骨干企业倾斜。</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120" w:name="_Toc90371312"/>
      <w:bookmarkStart w:id="121" w:name="_Toc60502809"/>
      <w:bookmarkStart w:id="122" w:name="_Toc69227003"/>
      <w:bookmarkStart w:id="123" w:name="_Toc71799475"/>
      <w:r>
        <w:rPr>
          <w:rFonts w:hint="eastAsia" w:ascii="方正楷体_GBK" w:hAnsi="方正楷体_GBK" w:eastAsia="方正楷体_GBK" w:cs="方正楷体_GBK"/>
          <w:b w:val="0"/>
          <w:bCs w:val="0"/>
          <w:color w:val="000000"/>
        </w:rPr>
        <w:t>第四节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 xml:space="preserve"> 加强矿产资源开发管理</w:t>
      </w:r>
      <w:bookmarkEnd w:id="120"/>
      <w:bookmarkEnd w:id="121"/>
      <w:bookmarkEnd w:id="122"/>
      <w:bookmarkEnd w:id="123"/>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严格开采规划区块设置</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auto"/>
          <w:kern w:val="0"/>
          <w:sz w:val="32"/>
          <w:szCs w:val="32"/>
        </w:rPr>
        <w:t>自治区划定重要矿产的开采规划区块</w:t>
      </w:r>
      <w:r>
        <w:rPr>
          <w:rFonts w:hint="eastAsia" w:ascii="方正仿宋_GBK" w:hAnsi="方正仿宋_GBK" w:eastAsia="方正仿宋_GBK" w:cs="方正仿宋_GBK"/>
          <w:b w:val="0"/>
          <w:bCs w:val="0"/>
          <w:snapToGrid w:val="0"/>
          <w:color w:val="auto"/>
          <w:kern w:val="0"/>
          <w:sz w:val="32"/>
          <w:szCs w:val="32"/>
          <w:lang w:eastAsia="zh-CN"/>
        </w:rPr>
        <w:t>；</w:t>
      </w:r>
      <w:r>
        <w:rPr>
          <w:rFonts w:hint="eastAsia" w:ascii="方正仿宋_GBK" w:hAnsi="方正仿宋_GBK" w:eastAsia="方正仿宋_GBK" w:cs="方正仿宋_GBK"/>
          <w:b w:val="0"/>
          <w:bCs w:val="0"/>
          <w:snapToGrid w:val="0"/>
          <w:color w:val="auto"/>
          <w:kern w:val="0"/>
          <w:sz w:val="32"/>
          <w:szCs w:val="32"/>
        </w:rPr>
        <w:t>盟市负责划定其他矿产的开采规划区块，且不得与自治区划定开采规划区块重叠</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snapToGrid w:val="0"/>
          <w:color w:val="auto"/>
          <w:kern w:val="0"/>
          <w:sz w:val="32"/>
          <w:szCs w:val="32"/>
        </w:rPr>
        <w:t>开采规划区</w:t>
      </w:r>
      <w:r>
        <w:rPr>
          <w:rFonts w:hint="eastAsia" w:ascii="方正仿宋_GBK" w:hAnsi="方正仿宋_GBK" w:eastAsia="方正仿宋_GBK" w:cs="方正仿宋_GBK"/>
          <w:b w:val="0"/>
          <w:bCs w:val="0"/>
          <w:snapToGrid w:val="0"/>
          <w:color w:val="000000"/>
          <w:kern w:val="0"/>
          <w:sz w:val="32"/>
          <w:szCs w:val="32"/>
        </w:rPr>
        <w:t>块设置要有利于整体开发，符合规划分区管理要求，与矿产资源开采方向一致。原则上</w:t>
      </w:r>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个开采规划区块只设</w:t>
      </w:r>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个开采主体。资源储量规模为大型的非煤矿山、大中型煤矿依据的矿产资源储量勘查程度应达到勘探程度，其他矿山应达到详查及以上程度。普通建筑用砂石土类矿产，达到普查及以上程度可直接出让采矿权。</w:t>
      </w:r>
    </w:p>
    <w:p>
      <w:pPr>
        <w:keepNext w:val="0"/>
        <w:keepLines w:val="0"/>
        <w:pageBreakBefore w:val="0"/>
        <w:widowControl w:val="0"/>
        <w:kinsoku/>
        <w:wordWrap/>
        <w:overflowPunct/>
        <w:topLinePunct/>
        <w:autoSpaceDE/>
        <w:autoSpaceDN/>
        <w:bidi w:val="0"/>
        <w:adjustRightInd/>
        <w:spacing w:line="580" w:lineRule="exact"/>
        <w:ind w:firstLine="640"/>
        <w:jc w:val="both"/>
        <w:textAlignment w:val="auto"/>
        <w:rPr>
          <w:rFonts w:hint="eastAsia" w:ascii="方正仿宋_GBK" w:hAnsi="方正仿宋_GBK" w:eastAsia="方正仿宋_GBK" w:cs="方正仿宋_GBK"/>
          <w:b w:val="0"/>
          <w:bCs w:val="0"/>
          <w:snapToGrid w:val="0"/>
          <w:color w:val="000000"/>
          <w:kern w:val="0"/>
          <w:sz w:val="32"/>
          <w:szCs w:val="32"/>
        </w:rPr>
      </w:pPr>
      <w:r>
        <w:rPr>
          <w:rFonts w:hint="eastAsia" w:ascii="方正仿宋_GBK" w:hAnsi="方正仿宋_GBK" w:eastAsia="方正仿宋_GBK" w:cs="方正仿宋_GBK"/>
          <w:b w:val="0"/>
          <w:bCs w:val="0"/>
          <w:snapToGrid w:val="0"/>
          <w:color w:val="000000"/>
          <w:kern w:val="0"/>
          <w:sz w:val="32"/>
          <w:szCs w:val="32"/>
        </w:rPr>
        <w:t>规划期拟设置开采规划区块694个，规划面积1.0万平方千米，其中</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能源矿产118个</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全部为煤炭</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金属矿产532个</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snapToGrid w:val="0"/>
          <w:color w:val="000000"/>
          <w:kern w:val="0"/>
          <w:sz w:val="32"/>
          <w:szCs w:val="32"/>
        </w:rPr>
        <w:t>非金属矿产44个。</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napToGrid w:val="0"/>
          <w:color w:val="000000"/>
          <w:kern w:val="0"/>
          <w:sz w:val="32"/>
          <w:szCs w:val="32"/>
          <w:lang w:val="en-US" w:eastAsia="zh-CN"/>
        </w:rPr>
      </w:pPr>
      <w:r>
        <w:rPr>
          <w:rFonts w:hint="eastAsia" w:ascii="方正仿宋_GBK" w:hAnsi="方正仿宋_GBK"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rPr>
        <w:t>规范采矿权管理</w:t>
      </w:r>
      <w:r>
        <w:rPr>
          <w:rFonts w:hint="eastAsia" w:ascii="方正仿宋_GBK" w:hAnsi="方正仿宋_GBK" w:eastAsia="方正仿宋_GBK" w:cs="方正仿宋_GBK"/>
          <w:b w:val="0"/>
          <w:bCs w:val="0"/>
          <w:snapToGrid w:val="0"/>
          <w:color w:val="000000"/>
          <w:kern w:val="0"/>
          <w:sz w:val="32"/>
          <w:szCs w:val="32"/>
          <w:lang w:eastAsia="zh-CN"/>
        </w:rPr>
        <w:t>。</w:t>
      </w:r>
    </w:p>
    <w:p>
      <w:pPr>
        <w:keepNext w:val="0"/>
        <w:keepLines w:val="0"/>
        <w:pageBreakBefore w:val="0"/>
        <w:widowControl w:val="0"/>
        <w:kinsoku/>
        <w:wordWrap/>
        <w:overflowPunct/>
        <w:topLinePunct/>
        <w:autoSpaceDE/>
        <w:autoSpaceDN/>
        <w:bidi w:val="0"/>
        <w:adjustRightInd/>
        <w:snapToGrid w:val="0"/>
        <w:spacing w:line="580" w:lineRule="exact"/>
        <w:ind w:firstLine="643"/>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napToGrid w:val="0"/>
          <w:color w:val="000000"/>
          <w:kern w:val="0"/>
          <w:sz w:val="32"/>
          <w:szCs w:val="32"/>
        </w:rPr>
        <w:t>规范矿产资源开发秩序。严格执行《</w:t>
      </w:r>
      <w:r>
        <w:rPr>
          <w:rFonts w:hint="eastAsia" w:ascii="方正仿宋_GBK" w:hAnsi="方正仿宋_GBK" w:eastAsia="方正仿宋_GBK" w:cs="方正仿宋_GBK"/>
          <w:b w:val="0"/>
          <w:bCs w:val="0"/>
          <w:snapToGrid w:val="0"/>
          <w:color w:val="000000"/>
          <w:kern w:val="0"/>
          <w:sz w:val="32"/>
          <w:szCs w:val="32"/>
          <w:lang w:eastAsia="zh-CN"/>
        </w:rPr>
        <w:t>中华人民共和国</w:t>
      </w:r>
      <w:r>
        <w:rPr>
          <w:rFonts w:hint="eastAsia" w:ascii="方正仿宋_GBK" w:hAnsi="方正仿宋_GBK" w:eastAsia="方正仿宋_GBK" w:cs="方正仿宋_GBK"/>
          <w:b w:val="0"/>
          <w:bCs w:val="0"/>
          <w:snapToGrid w:val="0"/>
          <w:color w:val="000000"/>
          <w:kern w:val="0"/>
          <w:sz w:val="32"/>
          <w:szCs w:val="32"/>
        </w:rPr>
        <w:t>矿产资源法》《矿产资源开采登记管理办法》以及国家和自治区矿</w:t>
      </w:r>
      <w:r>
        <w:rPr>
          <w:rFonts w:hint="eastAsia" w:ascii="方正仿宋_GBK" w:hAnsi="方正仿宋_GBK" w:eastAsia="方正仿宋_GBK" w:cs="方正仿宋_GBK"/>
          <w:b w:val="0"/>
          <w:bCs w:val="0"/>
          <w:snapToGrid w:val="0"/>
          <w:color w:val="000000"/>
          <w:kern w:val="0"/>
          <w:sz w:val="32"/>
          <w:szCs w:val="32"/>
          <w:lang w:eastAsia="zh-CN"/>
        </w:rPr>
        <w:t>业权</w:t>
      </w:r>
      <w:r>
        <w:rPr>
          <w:rFonts w:hint="eastAsia" w:ascii="方正仿宋_GBK" w:hAnsi="方正仿宋_GBK" w:eastAsia="方正仿宋_GBK" w:cs="方正仿宋_GBK"/>
          <w:b w:val="0"/>
          <w:bCs w:val="0"/>
          <w:snapToGrid w:val="0"/>
          <w:color w:val="000000"/>
          <w:kern w:val="0"/>
          <w:sz w:val="32"/>
          <w:szCs w:val="32"/>
        </w:rPr>
        <w:t>出让登记管理</w:t>
      </w:r>
      <w:r>
        <w:rPr>
          <w:rFonts w:hint="eastAsia" w:ascii="方正仿宋_GBK" w:hAnsi="方正仿宋_GBK" w:eastAsia="方正仿宋_GBK" w:cs="方正仿宋_GBK"/>
          <w:b w:val="0"/>
          <w:bCs w:val="0"/>
          <w:snapToGrid w:val="0"/>
          <w:color w:val="000000"/>
          <w:kern w:val="0"/>
          <w:sz w:val="32"/>
          <w:szCs w:val="32"/>
          <w:lang w:eastAsia="zh-CN"/>
        </w:rPr>
        <w:t>有关规定</w:t>
      </w:r>
      <w:r>
        <w:rPr>
          <w:rFonts w:hint="eastAsia" w:ascii="方正仿宋_GBK" w:hAnsi="方正仿宋_GBK" w:eastAsia="方正仿宋_GBK" w:cs="方正仿宋_GBK"/>
          <w:b w:val="0"/>
          <w:bCs w:val="0"/>
          <w:snapToGrid w:val="0"/>
          <w:color w:val="000000"/>
          <w:kern w:val="0"/>
          <w:sz w:val="32"/>
          <w:szCs w:val="32"/>
        </w:rPr>
        <w:t>，做到依法管理，规范矿产资源开发活动，建立和维护良好的矿产资源开发秩序，</w:t>
      </w:r>
      <w:r>
        <w:rPr>
          <w:rFonts w:hint="eastAsia" w:ascii="方正仿宋_GBK" w:hAnsi="方正仿宋_GBK" w:eastAsia="方正仿宋_GBK" w:cs="方正仿宋_GBK"/>
          <w:b w:val="0"/>
          <w:bCs w:val="0"/>
          <w:snapToGrid w:val="0"/>
          <w:color w:val="000000"/>
          <w:kern w:val="0"/>
          <w:sz w:val="32"/>
          <w:szCs w:val="32"/>
          <w:lang w:eastAsia="zh-CN"/>
        </w:rPr>
        <w:t>依法依规</w:t>
      </w:r>
      <w:r>
        <w:rPr>
          <w:rFonts w:hint="eastAsia" w:ascii="方正仿宋_GBK" w:hAnsi="方正仿宋_GBK" w:eastAsia="方正仿宋_GBK" w:cs="方正仿宋_GBK"/>
          <w:b w:val="0"/>
          <w:bCs w:val="0"/>
          <w:snapToGrid w:val="0"/>
          <w:color w:val="000000"/>
          <w:kern w:val="0"/>
          <w:sz w:val="32"/>
          <w:szCs w:val="32"/>
        </w:rPr>
        <w:t>坚决查处无证开采、越界开采、以采代探等违法活动，实现矿产资源合理开发、永续利用。探转采应按照采矿权登记有关规定管理，</w:t>
      </w:r>
      <w:r>
        <w:rPr>
          <w:rFonts w:hint="eastAsia" w:ascii="方正仿宋_GBK" w:hAnsi="方正仿宋_GBK" w:eastAsia="方正仿宋_GBK" w:cs="方正仿宋_GBK"/>
          <w:b w:val="0"/>
          <w:bCs w:val="0"/>
          <w:sz w:val="32"/>
          <w:szCs w:val="32"/>
        </w:rPr>
        <w:t>资源储量规模为大型的非煤矿山、大中型煤矿依据的矿产资源储量勘查程度应达到勘探程度，其他矿山应达到详查及以上程度。</w:t>
      </w:r>
    </w:p>
    <w:p>
      <w:pPr>
        <w:keepNext w:val="0"/>
        <w:keepLines w:val="0"/>
        <w:pageBreakBefore w:val="0"/>
        <w:widowControl w:val="0"/>
        <w:kinsoku/>
        <w:wordWrap/>
        <w:overflowPunct/>
        <w:topLinePunct/>
        <w:autoSpaceDE/>
        <w:autoSpaceDN/>
        <w:bidi w:val="0"/>
        <w:adjustRightInd/>
        <w:snapToGrid w:val="0"/>
        <w:spacing w:line="580" w:lineRule="exact"/>
        <w:ind w:firstLine="643"/>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napToGrid w:val="0"/>
          <w:color w:val="000000"/>
          <w:kern w:val="0"/>
          <w:sz w:val="32"/>
          <w:szCs w:val="32"/>
        </w:rPr>
        <w:t>加强矿产资源开发监督管理。</w:t>
      </w:r>
      <w:r>
        <w:rPr>
          <w:rFonts w:hint="eastAsia" w:ascii="方正仿宋_GBK" w:hAnsi="方正仿宋_GBK" w:eastAsia="方正仿宋_GBK" w:cs="方正仿宋_GBK"/>
          <w:b w:val="0"/>
          <w:bCs w:val="0"/>
          <w:sz w:val="32"/>
          <w:szCs w:val="32"/>
        </w:rPr>
        <w:t>全面落实矿业权人勘查开采信息公示制度，按照“双随机、一公开”要求，以不低于现有矿业权5%的比例抽查矿业权人公示的勘查开采年度信息，强化矿业权人异常名录和严重违法名单管理，推动对违法和失信企业的联合惩戒，引导形成从业主体自治、行业自律、社会监督、政府监管的社会共治格局。</w:t>
      </w:r>
      <w:r>
        <w:rPr>
          <w:rFonts w:hint="eastAsia" w:ascii="方正仿宋_GBK" w:hAnsi="方正仿宋_GBK" w:eastAsia="方正仿宋_GBK" w:cs="方正仿宋_GBK"/>
          <w:b w:val="0"/>
          <w:bCs w:val="0"/>
          <w:snapToGrid w:val="0"/>
          <w:color w:val="000000"/>
          <w:kern w:val="0"/>
          <w:sz w:val="32"/>
          <w:szCs w:val="32"/>
        </w:rPr>
        <w:t>完善矿产资源开发利用监管体系，切实加强对矿产资源开发各个环节的监管，加强矿山建设前矿产资源开发利用方案的审查、矿山开采过程中开发利用及矿山地质环境治理情况的监督，完善矿山闭坑管理的薄弱环节，开展矿产资源监管信息化建设，实现勘查、开发、闭坑信息化监管。</w:t>
      </w:r>
    </w:p>
    <w:p>
      <w:pPr>
        <w:pStyle w:val="6"/>
        <w:keepNext w:val="0"/>
        <w:keepLines w:val="0"/>
        <w:pageBreakBefore w:val="0"/>
        <w:widowControl w:val="0"/>
        <w:kinsoku/>
        <w:wordWrap/>
        <w:overflowPunct/>
        <w:topLinePunct/>
        <w:autoSpaceDE/>
        <w:autoSpaceDN/>
        <w:bidi w:val="0"/>
        <w:adjustRightInd/>
        <w:snapToGrid w:val="0"/>
        <w:spacing w:line="580" w:lineRule="exact"/>
        <w:ind w:firstLineChars="20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snapToGrid w:val="0"/>
          <w:color w:val="000000"/>
          <w:kern w:val="0"/>
          <w:sz w:val="32"/>
          <w:szCs w:val="32"/>
        </w:rPr>
        <w:t>完善采矿权退出机制。</w:t>
      </w:r>
      <w:r>
        <w:rPr>
          <w:rFonts w:hint="eastAsia" w:ascii="方正仿宋_GBK" w:hAnsi="方正仿宋_GBK" w:eastAsia="方正仿宋_GBK" w:cs="方正仿宋_GBK"/>
          <w:b w:val="0"/>
          <w:bCs w:val="0"/>
          <w:sz w:val="32"/>
          <w:szCs w:val="32"/>
        </w:rPr>
        <w:t>登记管理机关应及时清理过期采矿权，对</w:t>
      </w:r>
      <w:r>
        <w:rPr>
          <w:rFonts w:hint="eastAsia" w:ascii="方正仿宋_GBK" w:hAnsi="方正仿宋_GBK" w:eastAsia="方正仿宋_GBK" w:cs="方正仿宋_GBK"/>
          <w:b w:val="0"/>
          <w:bCs w:val="0"/>
          <w:snapToGrid w:val="0"/>
          <w:color w:val="000000"/>
          <w:kern w:val="0"/>
          <w:sz w:val="32"/>
          <w:szCs w:val="32"/>
        </w:rPr>
        <w:t>采矿许可证有效期届满前未按要求申请延续登记的，</w:t>
      </w:r>
      <w:r>
        <w:rPr>
          <w:rFonts w:hint="eastAsia" w:ascii="方正仿宋_GBK" w:hAnsi="方正仿宋_GBK" w:eastAsia="方正仿宋_GBK" w:cs="方正仿宋_GBK"/>
          <w:b w:val="0"/>
          <w:bCs w:val="0"/>
          <w:sz w:val="32"/>
          <w:szCs w:val="32"/>
        </w:rPr>
        <w:t>由负责出让登记的自然资源主管部门纳入已自行废止矿业权名单向社会公告。每年12月底前，负责出让登记的自然资源主管部门通过矿业权统一配号系统完成本级审批登记的有效矿业权确认，并</w:t>
      </w:r>
      <w:r>
        <w:rPr>
          <w:rFonts w:hint="eastAsia" w:ascii="方正仿宋_GBK" w:hAnsi="方正仿宋_GBK" w:eastAsia="方正仿宋_GBK" w:cs="方正仿宋_GBK"/>
          <w:b w:val="0"/>
          <w:bCs w:val="0"/>
          <w:sz w:val="32"/>
          <w:szCs w:val="32"/>
          <w:lang w:eastAsia="zh-CN"/>
        </w:rPr>
        <w:t>在</w:t>
      </w:r>
      <w:r>
        <w:rPr>
          <w:rFonts w:hint="eastAsia" w:ascii="方正仿宋_GBK" w:hAnsi="方正仿宋_GBK" w:eastAsia="方正仿宋_GBK" w:cs="方正仿宋_GBK"/>
          <w:b w:val="0"/>
          <w:bCs w:val="0"/>
          <w:sz w:val="32"/>
          <w:szCs w:val="32"/>
        </w:rPr>
        <w:t>自然资源部网站向社会公开，实现登记发证有效矿业权基本信息公告常态化管理。</w:t>
      </w:r>
    </w:p>
    <w:p>
      <w:pPr>
        <w:pStyle w:val="2"/>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color w:val="000000"/>
          <w:sz w:val="32"/>
          <w:szCs w:val="32"/>
        </w:rPr>
      </w:pPr>
      <w:bookmarkStart w:id="124" w:name="_Toc90371313"/>
      <w:bookmarkStart w:id="125" w:name="_Toc69227004"/>
      <w:bookmarkStart w:id="126" w:name="_Toc71799476"/>
      <w:bookmarkStart w:id="127" w:name="_Toc60502810"/>
      <w:r>
        <w:rPr>
          <w:rFonts w:hint="eastAsia" w:ascii="方正黑体_GBK" w:hAnsi="方正黑体_GBK" w:eastAsia="方正黑体_GBK" w:cs="方正黑体_GBK"/>
          <w:b w:val="0"/>
          <w:bCs w:val="0"/>
          <w:color w:val="000000"/>
          <w:sz w:val="32"/>
          <w:szCs w:val="32"/>
        </w:rPr>
        <w:t>第六章</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rPr>
        <w:t>矿业绿色发展</w:t>
      </w:r>
      <w:bookmarkEnd w:id="124"/>
      <w:bookmarkEnd w:id="125"/>
      <w:bookmarkEnd w:id="126"/>
      <w:bookmarkEnd w:id="127"/>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128" w:name="_Toc71799477"/>
      <w:bookmarkStart w:id="129" w:name="_Toc60502812"/>
      <w:bookmarkStart w:id="130" w:name="_Toc90371314"/>
      <w:bookmarkStart w:id="131" w:name="_Toc69227005"/>
      <w:r>
        <w:rPr>
          <w:rFonts w:hint="eastAsia" w:ascii="方正楷体_GBK" w:hAnsi="方正楷体_GBK" w:eastAsia="方正楷体_GBK" w:cs="方正楷体_GBK"/>
          <w:b w:val="0"/>
          <w:bCs w:val="0"/>
          <w:color w:val="000000"/>
        </w:rPr>
        <w:t>第一节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全面推进绿色矿山建设</w:t>
      </w:r>
      <w:bookmarkEnd w:id="128"/>
      <w:bookmarkEnd w:id="129"/>
      <w:bookmarkEnd w:id="130"/>
      <w:bookmarkEnd w:id="131"/>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color w:val="000000"/>
          <w:sz w:val="32"/>
          <w:szCs w:val="32"/>
        </w:rPr>
      </w:pPr>
      <w:bookmarkStart w:id="132" w:name="_Toc71813465"/>
      <w:bookmarkStart w:id="133" w:name="_Toc71799680"/>
      <w:r>
        <w:rPr>
          <w:rFonts w:hint="eastAsia" w:ascii="方正仿宋_GBK" w:hAnsi="方正仿宋_GBK" w:eastAsia="方正仿宋_GBK" w:cs="方正仿宋_GBK"/>
          <w:b w:val="0"/>
          <w:bCs w:val="0"/>
          <w:snapToGrid w:val="0"/>
          <w:kern w:val="0"/>
          <w:sz w:val="32"/>
          <w:szCs w:val="32"/>
          <w:lang w:val="en-US" w:eastAsia="zh-CN"/>
        </w:rPr>
        <w:t>1.</w:t>
      </w:r>
      <w:r>
        <w:rPr>
          <w:rFonts w:hint="eastAsia" w:ascii="方正仿宋_GBK" w:hAnsi="方正仿宋_GBK" w:eastAsia="方正仿宋_GBK" w:cs="方正仿宋_GBK"/>
          <w:b w:val="0"/>
          <w:bCs w:val="0"/>
          <w:snapToGrid w:val="0"/>
          <w:kern w:val="0"/>
          <w:sz w:val="32"/>
          <w:szCs w:val="32"/>
        </w:rPr>
        <w:t>规范绿色矿山建设</w:t>
      </w:r>
      <w:bookmarkEnd w:id="132"/>
      <w:bookmarkEnd w:id="133"/>
      <w:r>
        <w:rPr>
          <w:rFonts w:hint="eastAsia" w:ascii="方正仿宋_GBK" w:hAnsi="方正仿宋_GBK" w:eastAsia="方正仿宋_GBK" w:cs="方正仿宋_GBK"/>
          <w:b w:val="0"/>
          <w:bCs w:val="0"/>
          <w:snapToGrid w:val="0"/>
          <w:kern w:val="0"/>
          <w:sz w:val="32"/>
          <w:szCs w:val="32"/>
          <w:lang w:eastAsia="zh-CN"/>
        </w:rPr>
        <w:t>。</w:t>
      </w:r>
      <w:r>
        <w:rPr>
          <w:rFonts w:hint="eastAsia" w:ascii="方正仿宋_GBK" w:hAnsi="方正仿宋_GBK" w:eastAsia="方正仿宋_GBK" w:cs="方正仿宋_GBK"/>
          <w:b w:val="0"/>
          <w:bCs w:val="0"/>
          <w:color w:val="000000"/>
          <w:sz w:val="32"/>
          <w:szCs w:val="32"/>
        </w:rPr>
        <w:t>构建“政府引导、企业主体，标准引领、政策扶持、强化监管，落实责任、激发活力”的绿色矿山建设新机制。进一步完善符合自治区实际的绿色矿山建设标准体系，将绿色发展理念贯穿矿产资源开发全过程，开展绿色矿山建设行动，实行第三方评估制度和绿色矿山名录管理制度。</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新建矿山要全部达到绿色矿山建设标准</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生产矿山要按照绿色矿山建设标准加快改造升级，限期达到绿色矿山建设标准。</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各盟市依据矿山环境现状，按照“谁破坏，谁复垦”的原则，落实矿山环境治理和绿色矿山建设责任主体，制定年度推进计划，全面推进生产矿山的绿色矿山建设。各级自然资源主管部门</w:t>
      </w:r>
      <w:r>
        <w:rPr>
          <w:rFonts w:hint="eastAsia" w:ascii="方正仿宋_GBK" w:hAnsi="方正仿宋_GBK" w:eastAsia="方正仿宋_GBK" w:cs="方正仿宋_GBK"/>
          <w:b w:val="0"/>
          <w:bCs w:val="0"/>
          <w:color w:val="000000"/>
          <w:sz w:val="32"/>
          <w:szCs w:val="32"/>
          <w:lang w:eastAsia="zh-CN"/>
        </w:rPr>
        <w:t>要</w:t>
      </w:r>
      <w:r>
        <w:rPr>
          <w:rFonts w:hint="eastAsia" w:ascii="方正仿宋_GBK" w:hAnsi="方正仿宋_GBK" w:eastAsia="方正仿宋_GBK" w:cs="方正仿宋_GBK"/>
          <w:b w:val="0"/>
          <w:bCs w:val="0"/>
          <w:color w:val="000000"/>
          <w:sz w:val="32"/>
          <w:szCs w:val="32"/>
        </w:rPr>
        <w:t>会同有关部门按照“双随机</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一公开”的方式对已列入绿色矿山名录的矿山进行监督检查。</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sz w:val="36"/>
          <w:szCs w:val="36"/>
        </w:rPr>
      </w:pPr>
      <w:r>
        <w:rPr>
          <w:rFonts w:hint="eastAsia" w:ascii="方正仿宋_GBK" w:hAnsi="方正仿宋_GBK"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rPr>
        <w:t>加大政策支持力度</w:t>
      </w:r>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color w:val="000000"/>
          <w:sz w:val="32"/>
          <w:szCs w:val="32"/>
        </w:rPr>
        <w:t>实行矿产资源支持政策，对实行总量调控矿种的开采指标、矿业权投放，符合产业政策和矿山发展规划的，优先向绿色矿山安排。保障绿色矿山建设用地，将绿色矿山建设所需项目用地纳入规划重点项目清单，并在土地利用年度计划中优先保障新建、改扩建绿色矿山合理的新增建设用地需求。支持绿色矿山企业复垦，盘活存量工矿用地。加大财税政策支持力度。</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color w:val="000000"/>
        </w:rPr>
      </w:pPr>
      <w:bookmarkStart w:id="134" w:name="_Toc90371315"/>
      <w:bookmarkStart w:id="135" w:name="_Toc60502830"/>
      <w:r>
        <w:rPr>
          <w:rFonts w:hint="eastAsia" w:ascii="方正楷体_GBK" w:hAnsi="方正楷体_GBK" w:eastAsia="方正楷体_GBK" w:cs="方正楷体_GBK"/>
          <w:b w:val="0"/>
          <w:bCs w:val="0"/>
          <w:color w:val="000000"/>
        </w:rPr>
        <w:t>第二节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着力加强矿山地质环境治理</w:t>
      </w:r>
      <w:bookmarkEnd w:id="134"/>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color w:val="000000"/>
          <w:sz w:val="32"/>
          <w:szCs w:val="32"/>
        </w:rPr>
      </w:pPr>
      <w:bookmarkStart w:id="136" w:name="_Toc69227007"/>
      <w:bookmarkStart w:id="137" w:name="_Toc71813471"/>
      <w:bookmarkStart w:id="138" w:name="_Toc71799479"/>
      <w:bookmarkStart w:id="139" w:name="_Toc60502818"/>
      <w:r>
        <w:rPr>
          <w:rFonts w:hint="eastAsia" w:ascii="方正仿宋_GBK" w:hAnsi="方正仿宋_GBK" w:eastAsia="方正仿宋_GBK" w:cs="方正仿宋_GBK"/>
          <w:b w:val="0"/>
          <w:bCs w:val="0"/>
          <w:snapToGrid w:val="0"/>
          <w:color w:val="000000"/>
          <w:kern w:val="0"/>
          <w:sz w:val="32"/>
          <w:szCs w:val="32"/>
          <w:lang w:val="en-US" w:eastAsia="zh-CN"/>
        </w:rPr>
        <w:t>1.</w:t>
      </w:r>
      <w:r>
        <w:rPr>
          <w:rFonts w:hint="eastAsia" w:ascii="方正仿宋_GBK" w:hAnsi="方正仿宋_GBK" w:eastAsia="方正仿宋_GBK" w:cs="方正仿宋_GBK"/>
          <w:b w:val="0"/>
          <w:bCs w:val="0"/>
          <w:snapToGrid w:val="0"/>
          <w:color w:val="000000"/>
          <w:kern w:val="0"/>
          <w:sz w:val="32"/>
          <w:szCs w:val="32"/>
        </w:rPr>
        <w:t>加快推进黄河流域矿山地质环境治理</w:t>
      </w:r>
      <w:bookmarkEnd w:id="136"/>
      <w:bookmarkEnd w:id="137"/>
      <w:bookmarkEnd w:id="138"/>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color w:val="000000"/>
          <w:sz w:val="32"/>
          <w:szCs w:val="32"/>
        </w:rPr>
        <w:t>按照“盟市主导、旗县实施”的总体思路，全面排查黄河流域矿山地质环境现状，对于生产矿山存在应治未治或治理不达标的，要责令矿山企业开展矿山地质环境治理恢复，做到应治尽治；对于历史遗留及废弃无主需治理区域，沿黄各盟市、旗县</w:t>
      </w:r>
      <w:r>
        <w:rPr>
          <w:rFonts w:hint="eastAsia" w:ascii="方正仿宋_GBK" w:hAnsi="方正仿宋_GBK" w:eastAsia="方正仿宋_GBK" w:cs="方正仿宋_GBK"/>
          <w:b w:val="0"/>
          <w:bCs w:val="0"/>
          <w:color w:val="000000"/>
          <w:sz w:val="32"/>
          <w:szCs w:val="32"/>
          <w:lang w:eastAsia="zh-CN"/>
        </w:rPr>
        <w:t>（市、区）</w:t>
      </w:r>
      <w:r>
        <w:rPr>
          <w:rFonts w:hint="eastAsia" w:ascii="方正仿宋_GBK" w:hAnsi="方正仿宋_GBK" w:eastAsia="方正仿宋_GBK" w:cs="方正仿宋_GBK"/>
          <w:b w:val="0"/>
          <w:bCs w:val="0"/>
          <w:color w:val="000000"/>
          <w:sz w:val="32"/>
          <w:szCs w:val="32"/>
        </w:rPr>
        <w:t>要加大财政资金的投入，积极引进社会资金投入，多渠道争取黄河流域重点生态保护修复治理资金，全面落实黄河流域废弃矿山的综合整治工程，争取202</w:t>
      </w:r>
      <w:r>
        <w:rPr>
          <w:rFonts w:hint="eastAsia" w:ascii="方正仿宋_GBK" w:hAnsi="方正仿宋_GBK" w:eastAsia="方正仿宋_GBK" w:cs="方正仿宋_GBK"/>
          <w:b w:val="0"/>
          <w:bCs w:val="0"/>
          <w:color w:val="000000"/>
          <w:sz w:val="32"/>
          <w:szCs w:val="32"/>
          <w:lang w:val="en-US" w:eastAsia="zh-CN"/>
        </w:rPr>
        <w:t>5</w:t>
      </w:r>
      <w:r>
        <w:rPr>
          <w:rFonts w:hint="eastAsia" w:ascii="方正仿宋_GBK" w:hAnsi="方正仿宋_GBK" w:eastAsia="方正仿宋_GBK" w:cs="方正仿宋_GBK"/>
          <w:b w:val="0"/>
          <w:bCs w:val="0"/>
          <w:color w:val="000000"/>
          <w:sz w:val="32"/>
          <w:szCs w:val="32"/>
        </w:rPr>
        <w:t>年底彻底解决流域内废弃矿山的地质环境问题。建立矿山地质环境治理工作台账，明确各项治理实施进度，因地制宜，稳步推进。重点强化黄河入口处乌海—棋盘井煤、石灰石矿区、黄河北岸金属矿区、黄河南岸东胜煤矿区和黄河出口处准格尔煤矿区的矿山地质环境治理。</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color w:val="000000"/>
          <w:spacing w:val="6"/>
          <w:sz w:val="32"/>
          <w:szCs w:val="32"/>
        </w:rPr>
      </w:pPr>
      <w:bookmarkStart w:id="140" w:name="_Toc71799688"/>
      <w:bookmarkStart w:id="141" w:name="_Toc71813473"/>
      <w:r>
        <w:rPr>
          <w:rFonts w:hint="eastAsia" w:ascii="方正仿宋_GBK" w:hAnsi="方正仿宋_GBK" w:eastAsia="方正仿宋_GBK" w:cs="方正仿宋_GBK"/>
          <w:b w:val="0"/>
          <w:bCs w:val="0"/>
          <w:snapToGrid w:val="0"/>
          <w:color w:val="000000"/>
          <w:kern w:val="0"/>
          <w:sz w:val="32"/>
          <w:szCs w:val="32"/>
          <w:lang w:val="en-US" w:eastAsia="zh-CN"/>
        </w:rPr>
        <w:t>2.</w:t>
      </w:r>
      <w:r>
        <w:rPr>
          <w:rFonts w:hint="eastAsia" w:ascii="方正仿宋_GBK" w:hAnsi="方正仿宋_GBK" w:eastAsia="方正仿宋_GBK" w:cs="方正仿宋_GBK"/>
          <w:b w:val="0"/>
          <w:bCs w:val="0"/>
          <w:snapToGrid w:val="0"/>
          <w:color w:val="000000"/>
          <w:kern w:val="0"/>
          <w:sz w:val="32"/>
          <w:szCs w:val="32"/>
        </w:rPr>
        <w:t>抓好乌海及周边地区矿山地质环境综合治理</w:t>
      </w:r>
      <w:bookmarkEnd w:id="140"/>
      <w:bookmarkEnd w:id="141"/>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color w:val="000000"/>
          <w:sz w:val="32"/>
          <w:szCs w:val="32"/>
        </w:rPr>
        <w:t>强化乌海及周边地区矿山地质环境治理成效，提高绿色矿山建设水平，扭转生态环境恶化趋势，助力提升黄河流域生态功能。以矿业权退出与整合为契机，</w:t>
      </w:r>
      <w:r>
        <w:rPr>
          <w:rFonts w:hint="eastAsia" w:ascii="方正仿宋_GBK" w:hAnsi="方正仿宋_GBK" w:eastAsia="方正仿宋_GBK" w:cs="方正仿宋_GBK"/>
          <w:b w:val="0"/>
          <w:bCs w:val="0"/>
          <w:color w:val="000000"/>
          <w:spacing w:val="6"/>
          <w:sz w:val="32"/>
          <w:szCs w:val="32"/>
        </w:rPr>
        <w:t>优化矿山布局，实现集中连片综合治理，创新治理技术和模式，全面提高露天采坑、排土场治理水平，消除灾害隐患，重塑地形地貌景观，采取自然恢复为主、人工修复为辅的方式恢复植被，形成“协调统一，整齐有序”的矿区新面貌。</w:t>
      </w:r>
    </w:p>
    <w:p>
      <w:pPr>
        <w:keepNext w:val="0"/>
        <w:keepLines w:val="0"/>
        <w:pageBreakBefore w:val="0"/>
        <w:widowControl w:val="0"/>
        <w:kinsoku/>
        <w:wordWrap/>
        <w:overflowPunct/>
        <w:topLinePunct/>
        <w:autoSpaceDE/>
        <w:autoSpaceDN/>
        <w:bidi w:val="0"/>
        <w:adjustRightInd/>
        <w:snapToGrid w:val="0"/>
        <w:spacing w:line="580" w:lineRule="exact"/>
        <w:ind w:firstLine="640"/>
        <w:jc w:val="both"/>
        <w:textAlignment w:val="auto"/>
        <w:outlineLvl w:val="2"/>
        <w:rPr>
          <w:rFonts w:hint="eastAsia" w:ascii="方正仿宋_GBK" w:hAnsi="方正仿宋_GBK" w:eastAsia="方正仿宋_GBK" w:cs="方正仿宋_GBK"/>
          <w:b w:val="0"/>
          <w:bCs w:val="0"/>
          <w:color w:val="000000"/>
          <w:sz w:val="32"/>
          <w:szCs w:val="32"/>
        </w:rPr>
      </w:pPr>
      <w:bookmarkStart w:id="142" w:name="_Toc71799683"/>
      <w:bookmarkStart w:id="143" w:name="_Toc71813468"/>
      <w:r>
        <w:rPr>
          <w:rFonts w:hint="eastAsia" w:ascii="方正仿宋_GBK" w:hAnsi="方正仿宋_GBK" w:eastAsia="方正仿宋_GBK" w:cs="方正仿宋_GBK"/>
          <w:b w:val="0"/>
          <w:bCs w:val="0"/>
          <w:snapToGrid w:val="0"/>
          <w:color w:val="000000"/>
          <w:kern w:val="0"/>
          <w:sz w:val="32"/>
          <w:szCs w:val="32"/>
          <w:lang w:val="en-US" w:eastAsia="zh-CN"/>
        </w:rPr>
        <w:t>3.</w:t>
      </w:r>
      <w:r>
        <w:rPr>
          <w:rFonts w:hint="eastAsia" w:ascii="方正仿宋_GBK" w:hAnsi="方正仿宋_GBK" w:eastAsia="方正仿宋_GBK" w:cs="方正仿宋_GBK"/>
          <w:b w:val="0"/>
          <w:bCs w:val="0"/>
          <w:snapToGrid w:val="0"/>
          <w:color w:val="000000"/>
          <w:kern w:val="0"/>
          <w:sz w:val="32"/>
          <w:szCs w:val="32"/>
        </w:rPr>
        <w:t>强化新建、生产和闭坑矿山地质环境治理成效</w:t>
      </w:r>
      <w:bookmarkEnd w:id="142"/>
      <w:bookmarkEnd w:id="143"/>
      <w:r>
        <w:rPr>
          <w:rFonts w:hint="eastAsia" w:ascii="方正仿宋_GBK" w:hAnsi="方正仿宋_GBK" w:eastAsia="方正仿宋_GBK" w:cs="方正仿宋_GBK"/>
          <w:b w:val="0"/>
          <w:bCs w:val="0"/>
          <w:snapToGrid w:val="0"/>
          <w:color w:val="000000"/>
          <w:kern w:val="0"/>
          <w:sz w:val="32"/>
          <w:szCs w:val="32"/>
          <w:lang w:eastAsia="zh-CN"/>
        </w:rPr>
        <w:t>。</w:t>
      </w:r>
      <w:r>
        <w:rPr>
          <w:rFonts w:hint="eastAsia" w:ascii="方正仿宋_GBK" w:hAnsi="方正仿宋_GBK" w:eastAsia="方正仿宋_GBK" w:cs="方正仿宋_GBK"/>
          <w:b w:val="0"/>
          <w:bCs w:val="0"/>
          <w:color w:val="000000"/>
          <w:sz w:val="32"/>
          <w:szCs w:val="32"/>
        </w:rPr>
        <w:t>压实企业治理责任</w:t>
      </w:r>
      <w:r>
        <w:rPr>
          <w:rFonts w:hint="eastAsia" w:ascii="方正仿宋_GBK" w:hAnsi="方正仿宋_GBK" w:eastAsia="方正仿宋_GBK" w:cs="方正仿宋_GBK"/>
          <w:b w:val="0"/>
          <w:bCs w:val="0"/>
          <w:color w:val="000000"/>
          <w:sz w:val="32"/>
          <w:szCs w:val="32"/>
          <w:lang w:eastAsia="zh-CN"/>
        </w:rPr>
        <w:t>，对</w:t>
      </w:r>
      <w:r>
        <w:rPr>
          <w:rFonts w:hint="eastAsia" w:ascii="方正仿宋_GBK" w:hAnsi="方正仿宋_GBK" w:eastAsia="方正仿宋_GBK" w:cs="方正仿宋_GBK"/>
          <w:b w:val="0"/>
          <w:bCs w:val="0"/>
          <w:color w:val="000000"/>
          <w:sz w:val="32"/>
          <w:szCs w:val="32"/>
        </w:rPr>
        <w:t>新建</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改扩建矿山</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坚持矿产资源开发利用与矿山环境保护并重的原则，实行严格的矿山环境准入制度，新建矿山必须达到绿色矿山建设标准，编制矿山地质环境保护与土地复垦方案，报自然资源主管部门审查公示备案；生产矿山要全面履行矿山地质环境保护与恢复治理和矿山土地复垦义务，加强矿山地质环境监测，计提矿山地质环境治理恢复基金，按照矿山地质环境保护与土地复垦方案和年度治理计划书“边开采、</w:t>
      </w:r>
      <w:r>
        <w:rPr>
          <w:rFonts w:hint="eastAsia" w:ascii="方正仿宋_GBK" w:hAnsi="方正仿宋_GBK" w:eastAsia="方正仿宋_GBK" w:cs="方正仿宋_GBK"/>
          <w:b w:val="0"/>
          <w:bCs w:val="0"/>
          <w:color w:val="000000"/>
          <w:spacing w:val="6"/>
          <w:sz w:val="32"/>
          <w:szCs w:val="32"/>
        </w:rPr>
        <w:t>边治理、应治尽治”，切实提高矿山地质环境治理成效；矿山闭坑前要在规定时间完成矿山地质环境治理工作，并按相关规定开展闭坑验收。</w:t>
      </w:r>
    </w:p>
    <w:bookmarkEnd w:id="139"/>
    <w:p>
      <w:pPr>
        <w:pStyle w:val="2"/>
        <w:keepNext w:val="0"/>
        <w:keepLines w:val="0"/>
        <w:pageBreakBefore w:val="0"/>
        <w:widowControl w:val="0"/>
        <w:kinsoku/>
        <w:wordWrap/>
        <w:overflowPunct/>
        <w:topLinePunct/>
        <w:autoSpaceDE/>
        <w:autoSpaceDN/>
        <w:bidi w:val="0"/>
        <w:adjustRightInd/>
        <w:snapToGrid/>
        <w:spacing w:before="313" w:beforeLines="100" w:after="313" w:afterLines="100" w:line="600" w:lineRule="exact"/>
        <w:jc w:val="center"/>
        <w:textAlignment w:val="auto"/>
        <w:rPr>
          <w:rFonts w:hint="eastAsia" w:ascii="方正黑体_GBK" w:hAnsi="方正黑体_GBK" w:eastAsia="方正黑体_GBK" w:cs="方正黑体_GBK"/>
          <w:b w:val="0"/>
          <w:bCs w:val="0"/>
          <w:color w:val="000000"/>
          <w:sz w:val="32"/>
          <w:szCs w:val="32"/>
        </w:rPr>
      </w:pPr>
      <w:bookmarkStart w:id="144" w:name="_Toc90371316"/>
      <w:bookmarkStart w:id="145" w:name="_Toc71799480"/>
      <w:bookmarkStart w:id="146" w:name="_Toc69227008"/>
      <w:r>
        <w:rPr>
          <w:rFonts w:hint="eastAsia" w:ascii="方正黑体_GBK" w:hAnsi="方正黑体_GBK" w:eastAsia="方正黑体_GBK" w:cs="方正黑体_GBK"/>
          <w:b w:val="0"/>
          <w:bCs w:val="0"/>
          <w:color w:val="000000"/>
          <w:sz w:val="32"/>
          <w:szCs w:val="32"/>
        </w:rPr>
        <w:t>第七章</w:t>
      </w:r>
      <w:r>
        <w:rPr>
          <w:rFonts w:hint="eastAsia" w:ascii="方正黑体_GBK" w:hAnsi="方正黑体_GBK" w:eastAsia="方正黑体_GBK" w:cs="方正黑体_GBK"/>
          <w:b w:val="0"/>
          <w:bCs w:val="0"/>
          <w:color w:val="000000"/>
          <w:sz w:val="32"/>
          <w:szCs w:val="32"/>
          <w:lang w:val="en-US" w:eastAsia="zh-CN"/>
        </w:rPr>
        <w:t xml:space="preserve">  </w:t>
      </w:r>
      <w:r>
        <w:rPr>
          <w:rFonts w:hint="eastAsia" w:ascii="方正黑体_GBK" w:hAnsi="方正黑体_GBK" w:eastAsia="方正黑体_GBK" w:cs="方正黑体_GBK"/>
          <w:b w:val="0"/>
          <w:bCs w:val="0"/>
          <w:color w:val="000000"/>
          <w:sz w:val="32"/>
          <w:szCs w:val="32"/>
        </w:rPr>
        <w:t>规划实施与管理</w:t>
      </w:r>
      <w:bookmarkEnd w:id="135"/>
      <w:bookmarkEnd w:id="144"/>
      <w:bookmarkEnd w:id="145"/>
      <w:bookmarkEnd w:id="146"/>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方正楷体_GBK" w:hAnsi="方正楷体_GBK" w:eastAsia="方正楷体_GBK" w:cs="方正楷体_GBK"/>
          <w:b w:val="0"/>
          <w:bCs w:val="0"/>
          <w:color w:val="000000"/>
        </w:rPr>
      </w:pPr>
      <w:bookmarkStart w:id="147" w:name="_Toc89373669"/>
      <w:bookmarkStart w:id="148" w:name="_Toc90371317"/>
      <w:r>
        <w:rPr>
          <w:rFonts w:hint="eastAsia" w:ascii="方正楷体_GBK" w:hAnsi="方正楷体_GBK" w:eastAsia="方正楷体_GBK" w:cs="方正楷体_GBK"/>
          <w:b w:val="0"/>
          <w:bCs w:val="0"/>
          <w:color w:val="000000"/>
        </w:rPr>
        <w:t>第一节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加强组织领导</w:t>
      </w:r>
      <w:bookmarkEnd w:id="147"/>
      <w:bookmarkEnd w:id="148"/>
    </w:p>
    <w:p>
      <w:pPr>
        <w:keepNext w:val="0"/>
        <w:keepLines w:val="0"/>
        <w:pageBreakBefore w:val="0"/>
        <w:widowControl w:val="0"/>
        <w:kinsoku/>
        <w:wordWrap/>
        <w:overflowPunct/>
        <w:topLinePunct/>
        <w:autoSpaceDE/>
        <w:autoSpaceDN/>
        <w:bidi w:val="0"/>
        <w:adjustRightInd/>
        <w:snapToGrid w:val="0"/>
        <w:spacing w:line="60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在自治区</w:t>
      </w:r>
      <w:r>
        <w:rPr>
          <w:rFonts w:hint="eastAsia" w:ascii="方正仿宋_GBK" w:hAnsi="方正仿宋_GBK" w:eastAsia="方正仿宋_GBK" w:cs="方正仿宋_GBK"/>
          <w:b w:val="0"/>
          <w:bCs w:val="0"/>
          <w:color w:val="000000"/>
          <w:sz w:val="32"/>
          <w:szCs w:val="32"/>
          <w:lang w:eastAsia="zh-CN"/>
        </w:rPr>
        <w:t>人民</w:t>
      </w:r>
      <w:r>
        <w:rPr>
          <w:rFonts w:hint="eastAsia" w:ascii="方正仿宋_GBK" w:hAnsi="方正仿宋_GBK" w:eastAsia="方正仿宋_GBK" w:cs="方正仿宋_GBK"/>
          <w:b w:val="0"/>
          <w:bCs w:val="0"/>
          <w:color w:val="000000"/>
          <w:sz w:val="32"/>
          <w:szCs w:val="32"/>
        </w:rPr>
        <w:t>政府统一部署下，</w:t>
      </w:r>
      <w:r>
        <w:rPr>
          <w:rFonts w:hint="eastAsia" w:ascii="方正仿宋_GBK" w:hAnsi="方正仿宋_GBK" w:eastAsia="方正仿宋_GBK" w:cs="方正仿宋_GBK"/>
          <w:b w:val="0"/>
          <w:bCs w:val="0"/>
          <w:color w:val="000000"/>
          <w:sz w:val="32"/>
          <w:szCs w:val="32"/>
          <w:lang w:eastAsia="zh-CN"/>
        </w:rPr>
        <w:t>各地区各部门</w:t>
      </w:r>
      <w:r>
        <w:rPr>
          <w:rFonts w:hint="eastAsia" w:ascii="方正仿宋_GBK" w:hAnsi="方正仿宋_GBK" w:eastAsia="方正仿宋_GBK" w:cs="方正仿宋_GBK"/>
          <w:b w:val="0"/>
          <w:bCs w:val="0"/>
          <w:color w:val="000000"/>
          <w:sz w:val="32"/>
          <w:szCs w:val="32"/>
        </w:rPr>
        <w:t>切实加强</w:t>
      </w:r>
      <w:r>
        <w:rPr>
          <w:rFonts w:hint="eastAsia" w:ascii="方正仿宋_GBK" w:hAnsi="方正仿宋_GBK" w:eastAsia="方正仿宋_GBK" w:cs="方正仿宋_GBK"/>
          <w:b w:val="0"/>
          <w:bCs w:val="0"/>
          <w:color w:val="000000"/>
          <w:sz w:val="32"/>
          <w:szCs w:val="32"/>
          <w:lang w:eastAsia="zh-CN"/>
        </w:rPr>
        <w:t>对《</w:t>
      </w:r>
      <w:r>
        <w:rPr>
          <w:rFonts w:hint="eastAsia" w:ascii="方正仿宋_GBK" w:hAnsi="方正仿宋_GBK" w:eastAsia="方正仿宋_GBK" w:cs="方正仿宋_GBK"/>
          <w:b w:val="0"/>
          <w:bCs w:val="0"/>
          <w:color w:val="000000"/>
          <w:sz w:val="32"/>
          <w:szCs w:val="32"/>
        </w:rPr>
        <w:t>规划</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实施的组织领导，</w:t>
      </w:r>
      <w:r>
        <w:rPr>
          <w:rFonts w:hint="eastAsia" w:ascii="方正仿宋_GBK" w:hAnsi="方正仿宋_GBK" w:eastAsia="方正仿宋_GBK" w:cs="方正仿宋_GBK"/>
          <w:b w:val="0"/>
          <w:bCs w:val="0"/>
          <w:color w:val="000000"/>
          <w:spacing w:val="-6"/>
          <w:sz w:val="32"/>
          <w:szCs w:val="32"/>
        </w:rPr>
        <w:t>建立严格的工作责任制，</w:t>
      </w:r>
      <w:r>
        <w:rPr>
          <w:rFonts w:hint="eastAsia" w:ascii="方正仿宋_GBK" w:hAnsi="方正仿宋_GBK" w:eastAsia="方正仿宋_GBK" w:cs="方正仿宋_GBK"/>
          <w:b w:val="0"/>
          <w:bCs w:val="0"/>
          <w:color w:val="000000"/>
          <w:sz w:val="32"/>
          <w:szCs w:val="32"/>
        </w:rPr>
        <w:t>加强</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规划</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信息化管理，</w:t>
      </w:r>
      <w:r>
        <w:rPr>
          <w:rFonts w:hint="eastAsia" w:ascii="方正仿宋_GBK" w:hAnsi="方正仿宋_GBK" w:eastAsia="方正仿宋_GBK" w:cs="方正仿宋_GBK"/>
          <w:b w:val="0"/>
          <w:bCs w:val="0"/>
          <w:color w:val="000000"/>
          <w:sz w:val="32"/>
          <w:szCs w:val="32"/>
          <w:lang w:eastAsia="zh-CN"/>
        </w:rPr>
        <w:t>制定</w:t>
      </w:r>
      <w:r>
        <w:rPr>
          <w:rFonts w:hint="eastAsia" w:ascii="方正仿宋_GBK" w:hAnsi="方正仿宋_GBK" w:eastAsia="方正仿宋_GBK" w:cs="方正仿宋_GBK"/>
          <w:b w:val="0"/>
          <w:bCs w:val="0"/>
          <w:color w:val="000000"/>
          <w:sz w:val="32"/>
          <w:szCs w:val="32"/>
        </w:rPr>
        <w:t>配套政策措施，确保</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规划</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各项任务落到实处。自治区有关部门要按照各自的职能分工，加强协调配合，</w:t>
      </w:r>
      <w:r>
        <w:rPr>
          <w:rFonts w:hint="eastAsia" w:ascii="方正仿宋_GBK" w:hAnsi="方正仿宋_GBK" w:eastAsia="方正仿宋_GBK" w:cs="方正仿宋_GBK"/>
          <w:b w:val="0"/>
          <w:bCs w:val="0"/>
          <w:color w:val="000000"/>
          <w:sz w:val="32"/>
          <w:szCs w:val="32"/>
          <w:lang w:eastAsia="zh-CN"/>
        </w:rPr>
        <w:t>做</w:t>
      </w:r>
      <w:r>
        <w:rPr>
          <w:rFonts w:hint="eastAsia" w:ascii="方正仿宋_GBK" w:hAnsi="方正仿宋_GBK" w:eastAsia="方正仿宋_GBK" w:cs="方正仿宋_GBK"/>
          <w:b w:val="0"/>
          <w:bCs w:val="0"/>
          <w:color w:val="000000"/>
          <w:sz w:val="32"/>
          <w:szCs w:val="32"/>
        </w:rPr>
        <w:t>好政策衔接，</w:t>
      </w:r>
      <w:r>
        <w:rPr>
          <w:rFonts w:hint="eastAsia" w:ascii="方正仿宋_GBK" w:hAnsi="方正仿宋_GBK" w:eastAsia="方正仿宋_GBK" w:cs="方正仿宋_GBK"/>
          <w:b w:val="0"/>
          <w:bCs w:val="0"/>
          <w:color w:val="000000"/>
          <w:sz w:val="32"/>
          <w:szCs w:val="32"/>
          <w:lang w:eastAsia="zh-CN"/>
        </w:rPr>
        <w:t>合力</w:t>
      </w:r>
      <w:r>
        <w:rPr>
          <w:rFonts w:hint="eastAsia" w:ascii="方正仿宋_GBK" w:hAnsi="方正仿宋_GBK" w:eastAsia="方正仿宋_GBK" w:cs="方正仿宋_GBK"/>
          <w:b w:val="0"/>
          <w:bCs w:val="0"/>
          <w:color w:val="000000"/>
          <w:sz w:val="32"/>
          <w:szCs w:val="32"/>
        </w:rPr>
        <w:t>推进</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规划</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实施。</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方正楷体_GBK" w:hAnsi="方正楷体_GBK" w:eastAsia="方正楷体_GBK" w:cs="方正楷体_GBK"/>
          <w:b w:val="0"/>
          <w:bCs w:val="0"/>
          <w:color w:val="000000"/>
        </w:rPr>
      </w:pPr>
      <w:bookmarkStart w:id="149" w:name="_Toc90371318"/>
      <w:r>
        <w:rPr>
          <w:rFonts w:hint="eastAsia" w:ascii="方正楷体_GBK" w:hAnsi="方正楷体_GBK" w:eastAsia="方正楷体_GBK" w:cs="方正楷体_GBK"/>
          <w:b w:val="0"/>
          <w:bCs w:val="0"/>
          <w:color w:val="000000"/>
        </w:rPr>
        <w:t>第二节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强化规划管控作用</w:t>
      </w:r>
      <w:bookmarkEnd w:id="149"/>
    </w:p>
    <w:p>
      <w:pPr>
        <w:keepNext w:val="0"/>
        <w:keepLines w:val="0"/>
        <w:pageBreakBefore w:val="0"/>
        <w:widowControl w:val="0"/>
        <w:kinsoku/>
        <w:wordWrap/>
        <w:overflowPunct/>
        <w:topLinePunct/>
        <w:autoSpaceDE/>
        <w:autoSpaceDN/>
        <w:bidi w:val="0"/>
        <w:adjustRightInd/>
        <w:snapToGrid w:val="0"/>
        <w:spacing w:line="60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健全完善矿产资源规划编制与实施管理制度，强化规划在矿产资源勘查开发与保护管理中的刚性约束。</w:t>
      </w:r>
      <w:r>
        <w:rPr>
          <w:rFonts w:hint="eastAsia" w:ascii="方正仿宋_GBK" w:hAnsi="方正仿宋_GBK" w:eastAsia="方正仿宋_GBK" w:cs="方正仿宋_GBK"/>
          <w:b w:val="0"/>
          <w:bCs w:val="0"/>
          <w:color w:val="000000"/>
          <w:sz w:val="32"/>
          <w:szCs w:val="32"/>
          <w:lang w:eastAsia="zh-CN"/>
        </w:rPr>
        <w:t>盟</w:t>
      </w:r>
      <w:r>
        <w:rPr>
          <w:rFonts w:hint="eastAsia" w:ascii="方正仿宋_GBK" w:hAnsi="方正仿宋_GBK" w:eastAsia="方正仿宋_GBK" w:cs="方正仿宋_GBK"/>
          <w:b w:val="0"/>
          <w:bCs w:val="0"/>
          <w:color w:val="000000"/>
          <w:sz w:val="32"/>
          <w:szCs w:val="32"/>
        </w:rPr>
        <w:t>市</w:t>
      </w:r>
      <w:r>
        <w:rPr>
          <w:rFonts w:hint="eastAsia" w:ascii="方正仿宋_GBK" w:hAnsi="方正仿宋_GBK" w:eastAsia="方正仿宋_GBK" w:cs="方正仿宋_GBK"/>
          <w:b w:val="0"/>
          <w:bCs w:val="0"/>
          <w:color w:val="000000"/>
          <w:sz w:val="32"/>
          <w:szCs w:val="32"/>
          <w:lang w:eastAsia="zh-CN"/>
        </w:rPr>
        <w:t>、旗</w:t>
      </w:r>
      <w:r>
        <w:rPr>
          <w:rFonts w:hint="eastAsia" w:ascii="方正仿宋_GBK" w:hAnsi="方正仿宋_GBK" w:eastAsia="方正仿宋_GBK" w:cs="方正仿宋_GBK"/>
          <w:b w:val="0"/>
          <w:bCs w:val="0"/>
          <w:color w:val="000000"/>
          <w:sz w:val="32"/>
          <w:szCs w:val="32"/>
        </w:rPr>
        <w:t>县</w:t>
      </w:r>
      <w:r>
        <w:rPr>
          <w:rFonts w:hint="eastAsia" w:ascii="方正仿宋_GBK" w:hAnsi="方正仿宋_GBK" w:eastAsia="方正仿宋_GBK" w:cs="方正仿宋_GBK"/>
          <w:b w:val="0"/>
          <w:bCs w:val="0"/>
          <w:color w:val="000000"/>
          <w:sz w:val="32"/>
          <w:szCs w:val="32"/>
          <w:lang w:eastAsia="zh-CN"/>
        </w:rPr>
        <w:t>（市、区）</w:t>
      </w:r>
      <w:r>
        <w:rPr>
          <w:rFonts w:hint="eastAsia" w:ascii="方正仿宋_GBK" w:hAnsi="方正仿宋_GBK" w:eastAsia="方正仿宋_GBK" w:cs="方正仿宋_GBK"/>
          <w:b w:val="0"/>
          <w:bCs w:val="0"/>
          <w:color w:val="000000"/>
          <w:sz w:val="32"/>
          <w:szCs w:val="32"/>
        </w:rPr>
        <w:t>要逐级落实</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规划</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目标和任务，各级矿产资源规划经</w:t>
      </w:r>
      <w:r>
        <w:rPr>
          <w:rFonts w:hint="eastAsia" w:ascii="方正仿宋_GBK" w:hAnsi="方正仿宋_GBK" w:eastAsia="方正仿宋_GBK" w:cs="方正仿宋_GBK"/>
          <w:b w:val="0"/>
          <w:bCs w:val="0"/>
          <w:color w:val="000000"/>
          <w:sz w:val="32"/>
          <w:szCs w:val="32"/>
          <w:lang w:eastAsia="zh-CN"/>
        </w:rPr>
        <w:t>同级人民</w:t>
      </w:r>
      <w:r>
        <w:rPr>
          <w:rFonts w:hint="eastAsia" w:ascii="方正仿宋_GBK" w:hAnsi="方正仿宋_GBK" w:eastAsia="方正仿宋_GBK" w:cs="方正仿宋_GBK"/>
          <w:b w:val="0"/>
          <w:bCs w:val="0"/>
          <w:color w:val="000000"/>
          <w:sz w:val="32"/>
          <w:szCs w:val="32"/>
        </w:rPr>
        <w:t>政府发布后原则上</w:t>
      </w:r>
      <w:r>
        <w:rPr>
          <w:rFonts w:hint="eastAsia" w:ascii="方正仿宋_GBK" w:hAnsi="方正仿宋_GBK" w:eastAsia="方正仿宋_GBK" w:cs="方正仿宋_GBK"/>
          <w:b w:val="0"/>
          <w:bCs w:val="0"/>
          <w:color w:val="000000"/>
          <w:sz w:val="32"/>
          <w:szCs w:val="32"/>
          <w:lang w:val="en-US" w:eastAsia="zh-CN"/>
        </w:rPr>
        <w:t>1</w:t>
      </w:r>
      <w:r>
        <w:rPr>
          <w:rFonts w:hint="eastAsia" w:ascii="方正仿宋_GBK" w:hAnsi="方正仿宋_GBK" w:eastAsia="方正仿宋_GBK" w:cs="方正仿宋_GBK"/>
          <w:b w:val="0"/>
          <w:bCs w:val="0"/>
          <w:color w:val="000000"/>
          <w:sz w:val="32"/>
          <w:szCs w:val="32"/>
        </w:rPr>
        <w:t>年调整</w:t>
      </w:r>
      <w:r>
        <w:rPr>
          <w:rFonts w:hint="eastAsia" w:ascii="方正仿宋_GBK" w:hAnsi="方正仿宋_GBK" w:eastAsia="方正仿宋_GBK" w:cs="方正仿宋_GBK"/>
          <w:b w:val="0"/>
          <w:bCs w:val="0"/>
          <w:color w:val="000000"/>
          <w:sz w:val="32"/>
          <w:szCs w:val="32"/>
          <w:lang w:val="en-US" w:eastAsia="zh-CN"/>
        </w:rPr>
        <w:t>1</w:t>
      </w:r>
      <w:r>
        <w:rPr>
          <w:rFonts w:hint="eastAsia" w:ascii="方正仿宋_GBK" w:hAnsi="方正仿宋_GBK" w:eastAsia="方正仿宋_GBK" w:cs="方正仿宋_GBK"/>
          <w:b w:val="0"/>
          <w:bCs w:val="0"/>
          <w:color w:val="000000"/>
          <w:sz w:val="32"/>
          <w:szCs w:val="32"/>
        </w:rPr>
        <w:t>次；新增开发项目属于国家、自治区批准的重大项目确需调整规划的，</w:t>
      </w:r>
      <w:r>
        <w:rPr>
          <w:rFonts w:hint="eastAsia" w:ascii="方正仿宋_GBK" w:hAnsi="方正仿宋_GBK" w:eastAsia="方正仿宋_GBK" w:cs="方正仿宋_GBK"/>
          <w:b w:val="0"/>
          <w:bCs w:val="0"/>
          <w:color w:val="000000"/>
          <w:sz w:val="32"/>
          <w:szCs w:val="32"/>
          <w:lang w:val="en-US" w:eastAsia="zh-CN"/>
        </w:rPr>
        <w:t>1</w:t>
      </w:r>
      <w:r>
        <w:rPr>
          <w:rFonts w:hint="eastAsia" w:ascii="方正仿宋_GBK" w:hAnsi="方正仿宋_GBK" w:eastAsia="方正仿宋_GBK" w:cs="方正仿宋_GBK"/>
          <w:b w:val="0"/>
          <w:bCs w:val="0"/>
          <w:color w:val="000000"/>
          <w:sz w:val="32"/>
          <w:szCs w:val="32"/>
        </w:rPr>
        <w:t>年不得超过</w:t>
      </w:r>
      <w:r>
        <w:rPr>
          <w:rFonts w:hint="eastAsia" w:ascii="方正仿宋_GBK" w:hAnsi="方正仿宋_GBK" w:eastAsia="方正仿宋_GBK" w:cs="方正仿宋_GBK"/>
          <w:b w:val="0"/>
          <w:bCs w:val="0"/>
          <w:color w:val="000000"/>
          <w:sz w:val="32"/>
          <w:szCs w:val="32"/>
          <w:lang w:val="en-US" w:eastAsia="zh-CN"/>
        </w:rPr>
        <w:t>2</w:t>
      </w:r>
      <w:r>
        <w:rPr>
          <w:rFonts w:hint="eastAsia" w:ascii="方正仿宋_GBK" w:hAnsi="方正仿宋_GBK" w:eastAsia="方正仿宋_GBK" w:cs="方正仿宋_GBK"/>
          <w:b w:val="0"/>
          <w:bCs w:val="0"/>
          <w:color w:val="000000"/>
          <w:sz w:val="32"/>
          <w:szCs w:val="32"/>
        </w:rPr>
        <w:t>次。各级人民政府要健全集体决策机制，以矿产资源规划为依据，科学决定矿产资源勘查开发和矿区生态修复中的重大事项。</w:t>
      </w:r>
      <w:r>
        <w:rPr>
          <w:rFonts w:hint="eastAsia" w:ascii="方正仿宋_GBK" w:hAnsi="方正仿宋_GBK" w:eastAsia="方正仿宋_GBK" w:cs="方正仿宋_GBK"/>
          <w:b w:val="0"/>
          <w:bCs w:val="0"/>
          <w:color w:val="000000"/>
          <w:spacing w:val="6"/>
          <w:sz w:val="32"/>
          <w:szCs w:val="32"/>
        </w:rPr>
        <w:t>经审查不符合矿产资源规划的，登记管理机关不得颁发勘查许可证和采矿许可证。</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方正楷体_GBK" w:hAnsi="方正楷体_GBK" w:eastAsia="方正楷体_GBK" w:cs="方正楷体_GBK"/>
          <w:b w:val="0"/>
          <w:bCs w:val="0"/>
          <w:color w:val="000000"/>
        </w:rPr>
      </w:pPr>
      <w:bookmarkStart w:id="150" w:name="_Toc496165836"/>
      <w:bookmarkStart w:id="151" w:name="_Toc89373670"/>
      <w:bookmarkStart w:id="152" w:name="_Toc90371319"/>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方正楷体_GBK" w:hAnsi="方正楷体_GBK" w:eastAsia="方正楷体_GBK" w:cs="方正楷体_GBK"/>
          <w:b w:val="0"/>
          <w:bCs w:val="0"/>
          <w:color w:val="000000"/>
        </w:rPr>
      </w:pPr>
      <w:r>
        <w:rPr>
          <w:rFonts w:hint="eastAsia" w:ascii="方正楷体_GBK" w:hAnsi="方正楷体_GBK" w:eastAsia="方正楷体_GBK" w:cs="方正楷体_GBK"/>
          <w:b w:val="0"/>
          <w:bCs w:val="0"/>
          <w:color w:val="000000"/>
        </w:rPr>
        <w:t>第三节</w:t>
      </w:r>
      <w:bookmarkEnd w:id="150"/>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严格目标责任考核</w:t>
      </w:r>
      <w:bookmarkEnd w:id="151"/>
      <w:r>
        <w:rPr>
          <w:rFonts w:hint="eastAsia" w:ascii="方正楷体_GBK" w:hAnsi="方正楷体_GBK" w:eastAsia="方正楷体_GBK" w:cs="方正楷体_GBK"/>
          <w:b w:val="0"/>
          <w:bCs w:val="0"/>
          <w:color w:val="000000"/>
        </w:rPr>
        <w:t>和审批制度</w:t>
      </w:r>
      <w:bookmarkEnd w:id="152"/>
    </w:p>
    <w:p>
      <w:pPr>
        <w:keepNext w:val="0"/>
        <w:keepLines w:val="0"/>
        <w:pageBreakBefore w:val="0"/>
        <w:widowControl w:val="0"/>
        <w:kinsoku/>
        <w:wordWrap/>
        <w:overflowPunct/>
        <w:topLinePunct/>
        <w:autoSpaceDE/>
        <w:autoSpaceDN/>
        <w:bidi w:val="0"/>
        <w:adjustRightInd/>
        <w:snapToGrid w:val="0"/>
        <w:spacing w:line="60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自然资源行政管理部门要强化责任意识，建立规划管理责任考核制度，与相关部门按各自职责分工，抓好规划落实。完善规划审查报批制度，按照规划编制实施办法的有关规定对规划进行审查，组织有关专家进行论证，征求相关部门意见，并不断进行修改、补充与完善。规划一经批准，必须严格执行。对不符合规划准入条件的，不予通过规划审查。</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方正楷体_GBK" w:hAnsi="方正楷体_GBK" w:eastAsia="方正楷体_GBK" w:cs="方正楷体_GBK"/>
          <w:b w:val="0"/>
          <w:bCs w:val="0"/>
          <w:color w:val="000000"/>
        </w:rPr>
      </w:pPr>
      <w:bookmarkStart w:id="153" w:name="_Toc496165838"/>
      <w:bookmarkStart w:id="154" w:name="_Toc89373671"/>
      <w:bookmarkStart w:id="155" w:name="_Toc90371320"/>
      <w:r>
        <w:rPr>
          <w:rFonts w:hint="eastAsia" w:ascii="方正楷体_GBK" w:hAnsi="方正楷体_GBK" w:eastAsia="方正楷体_GBK" w:cs="方正楷体_GBK"/>
          <w:b w:val="0"/>
          <w:bCs w:val="0"/>
          <w:color w:val="000000"/>
        </w:rPr>
        <w:t>第四节</w:t>
      </w:r>
      <w:bookmarkEnd w:id="153"/>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强化规划实施评估</w:t>
      </w:r>
      <w:bookmarkEnd w:id="154"/>
      <w:r>
        <w:rPr>
          <w:rFonts w:hint="eastAsia" w:ascii="方正楷体_GBK" w:hAnsi="方正楷体_GBK" w:eastAsia="方正楷体_GBK" w:cs="方正楷体_GBK"/>
          <w:b w:val="0"/>
          <w:bCs w:val="0"/>
          <w:color w:val="000000"/>
        </w:rPr>
        <w:t>和监督检查</w:t>
      </w:r>
      <w:bookmarkEnd w:id="155"/>
    </w:p>
    <w:p>
      <w:pPr>
        <w:keepNext w:val="0"/>
        <w:keepLines w:val="0"/>
        <w:pageBreakBefore w:val="0"/>
        <w:widowControl w:val="0"/>
        <w:kinsoku/>
        <w:wordWrap/>
        <w:overflowPunct/>
        <w:topLinePunct/>
        <w:autoSpaceDE/>
        <w:autoSpaceDN/>
        <w:bidi w:val="0"/>
        <w:adjustRightInd/>
        <w:snapToGrid w:val="0"/>
        <w:spacing w:line="60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建立健全规划实施评估制度，开展规划的年度监测、中期评估和终期总结。规划评估主要内容包括规划实施的进展与成效、各项任务执行情况、指标完成情况、各项政策措施落实情况等，分析规划实施中存在的问题、原因、形势，提出规划修编和调整的意见和建议。构建自治区、盟市、旗县</w:t>
      </w:r>
      <w:r>
        <w:rPr>
          <w:rFonts w:hint="eastAsia" w:ascii="方正仿宋_GBK" w:hAnsi="方正仿宋_GBK" w:eastAsia="方正仿宋_GBK" w:cs="方正仿宋_GBK"/>
          <w:b w:val="0"/>
          <w:bCs w:val="0"/>
          <w:color w:val="000000"/>
          <w:sz w:val="32"/>
          <w:szCs w:val="32"/>
          <w:lang w:eastAsia="zh-CN"/>
        </w:rPr>
        <w:t>（市、区）</w:t>
      </w:r>
      <w:r>
        <w:rPr>
          <w:rFonts w:hint="eastAsia" w:ascii="方正仿宋_GBK" w:hAnsi="方正仿宋_GBK" w:eastAsia="方正仿宋_GBK" w:cs="方正仿宋_GBK"/>
          <w:b w:val="0"/>
          <w:bCs w:val="0"/>
          <w:color w:val="000000"/>
          <w:sz w:val="32"/>
          <w:szCs w:val="32"/>
        </w:rPr>
        <w:t>和行政主管部门纵向监督，各相关部门横向监督和社会公众监督三个方面的规划实施监督体系。</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600" w:lineRule="exact"/>
        <w:ind w:firstLine="0" w:firstLineChars="0"/>
        <w:jc w:val="center"/>
        <w:textAlignment w:val="auto"/>
        <w:rPr>
          <w:rFonts w:hint="eastAsia" w:ascii="方正楷体_GBK" w:hAnsi="方正楷体_GBK" w:eastAsia="方正楷体_GBK" w:cs="方正楷体_GBK"/>
          <w:b w:val="0"/>
          <w:bCs w:val="0"/>
          <w:color w:val="000000"/>
        </w:rPr>
      </w:pPr>
      <w:bookmarkStart w:id="156" w:name="_Toc90371321"/>
      <w:bookmarkStart w:id="157" w:name="_Toc89373673"/>
      <w:r>
        <w:rPr>
          <w:rFonts w:hint="eastAsia" w:ascii="方正楷体_GBK" w:hAnsi="方正楷体_GBK" w:eastAsia="方正楷体_GBK" w:cs="方正楷体_GBK"/>
          <w:b w:val="0"/>
          <w:bCs w:val="0"/>
          <w:color w:val="000000"/>
        </w:rPr>
        <w:t>第五节</w:t>
      </w:r>
      <w:r>
        <w:rPr>
          <w:rFonts w:hint="eastAsia" w:ascii="方正楷体_GBK" w:hAnsi="方正楷体_GBK" w:eastAsia="方正楷体_GBK" w:cs="方正楷体_GBK"/>
          <w:b w:val="0"/>
          <w:bCs w:val="0"/>
          <w:color w:val="000000"/>
          <w:lang w:val="en-US" w:eastAsia="zh-CN"/>
        </w:rPr>
        <w:t xml:space="preserve">  </w:t>
      </w:r>
      <w:r>
        <w:rPr>
          <w:rFonts w:hint="eastAsia" w:ascii="方正楷体_GBK" w:hAnsi="方正楷体_GBK" w:eastAsia="方正楷体_GBK" w:cs="方正楷体_GBK"/>
          <w:b w:val="0"/>
          <w:bCs w:val="0"/>
          <w:color w:val="000000"/>
        </w:rPr>
        <w:t>提高规划管理信息化水平</w:t>
      </w:r>
      <w:bookmarkEnd w:id="156"/>
      <w:bookmarkEnd w:id="157"/>
    </w:p>
    <w:p>
      <w:pPr>
        <w:keepNext w:val="0"/>
        <w:keepLines w:val="0"/>
        <w:pageBreakBefore w:val="0"/>
        <w:widowControl w:val="0"/>
        <w:kinsoku/>
        <w:wordWrap/>
        <w:overflowPunct/>
        <w:topLinePunct/>
        <w:autoSpaceDE/>
        <w:autoSpaceDN/>
        <w:bidi w:val="0"/>
        <w:adjustRightInd/>
        <w:snapToGrid w:val="0"/>
        <w:spacing w:line="600" w:lineRule="exact"/>
        <w:ind w:firstLine="640"/>
        <w:jc w:val="both"/>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在规划编制过程中，必须同时开展矿产资源规划数据库建设，建立全区统一规划数据库，纳入全国统一的矿产资源规划编制实施管理系统，融入国土空间规划“一张图”管理，为矿产资源规划成果管理、规划审查、辅助决策提供数据支持。实施规划数据库动态更新，规划数据库调整要与规划实施监测与评估工作紧密结合，实行集中动态调整，原则上每年度集中调整完善</w:t>
      </w:r>
      <w:r>
        <w:rPr>
          <w:rFonts w:hint="eastAsia" w:ascii="方正仿宋_GBK" w:hAnsi="方正仿宋_GBK" w:eastAsia="方正仿宋_GBK" w:cs="方正仿宋_GBK"/>
          <w:b w:val="0"/>
          <w:bCs w:val="0"/>
          <w:color w:val="000000"/>
          <w:sz w:val="32"/>
          <w:szCs w:val="32"/>
          <w:lang w:val="en-US" w:eastAsia="zh-CN"/>
        </w:rPr>
        <w:t>1</w:t>
      </w:r>
      <w:r>
        <w:rPr>
          <w:rFonts w:hint="eastAsia" w:ascii="方正仿宋_GBK" w:hAnsi="方正仿宋_GBK" w:eastAsia="方正仿宋_GBK" w:cs="方正仿宋_GBK"/>
          <w:b w:val="0"/>
          <w:bCs w:val="0"/>
          <w:color w:val="000000"/>
          <w:sz w:val="32"/>
          <w:szCs w:val="32"/>
        </w:rPr>
        <w:t>次。</w:t>
      </w:r>
    </w:p>
    <w:p>
      <w:pPr>
        <w:adjustRightInd w:val="0"/>
        <w:snapToGrid w:val="0"/>
        <w:spacing w:line="580" w:lineRule="exact"/>
        <w:ind w:firstLine="0" w:firstLineChars="0"/>
        <w:rPr>
          <w:rFonts w:hint="eastAsia"/>
        </w:rPr>
      </w:pPr>
    </w:p>
    <w:p>
      <w:pPr>
        <w:ind w:firstLine="560"/>
        <w:rPr>
          <w:b w:val="0"/>
          <w:bCs w:val="0"/>
        </w:rPr>
      </w:pPr>
    </w:p>
    <w:p>
      <w:pPr>
        <w:ind w:firstLine="560"/>
        <w:rPr>
          <w:b w:val="0"/>
          <w:bCs w:val="0"/>
        </w:rPr>
      </w:pPr>
    </w:p>
    <w:p>
      <w:pPr>
        <w:ind w:firstLine="560"/>
        <w:rPr>
          <w:b w:val="0"/>
          <w:bCs w:val="0"/>
        </w:rPr>
      </w:pPr>
    </w:p>
    <w:p>
      <w:pPr>
        <w:ind w:firstLine="560"/>
        <w:rPr>
          <w:b w:val="0"/>
          <w:bCs w:val="0"/>
        </w:rPr>
      </w:pPr>
    </w:p>
    <w:p>
      <w:pPr>
        <w:ind w:firstLine="560"/>
        <w:rPr>
          <w:b w:val="0"/>
          <w:bCs w:val="0"/>
        </w:rPr>
      </w:pPr>
    </w:p>
    <w:p>
      <w:pPr>
        <w:ind w:firstLine="560"/>
        <w:rPr>
          <w:b w:val="0"/>
          <w:bCs w:val="0"/>
        </w:rPr>
      </w:pPr>
    </w:p>
    <w:p>
      <w:pPr>
        <w:ind w:firstLine="0"/>
        <w:rPr>
          <w:b w:val="0"/>
          <w:bCs w:val="0"/>
        </w:rPr>
      </w:pPr>
      <w:bookmarkStart w:id="158" w:name="_GoBack"/>
      <w:bookmarkEnd w:id="158"/>
    </w:p>
    <w:p>
      <w:pPr>
        <w:ind w:firstLine="0"/>
        <w:rPr>
          <w:b w:val="0"/>
          <w:bCs w:val="0"/>
        </w:rPr>
      </w:pPr>
    </w:p>
    <w:p>
      <w:pPr>
        <w:ind w:firstLine="0"/>
        <w:rPr>
          <w:b w:val="0"/>
          <w:bCs w:val="0"/>
        </w:rPr>
      </w:pPr>
    </w:p>
    <w:p>
      <w:pPr>
        <w:pStyle w:val="5"/>
        <w:tabs>
          <w:tab w:val="left" w:pos="7560"/>
        </w:tabs>
        <w:wordWrap w:val="0"/>
        <w:ind w:left="4520" w:leftChars="2058" w:hanging="198" w:hangingChars="62"/>
        <w:jc w:val="right"/>
        <w:rPr>
          <w:rFonts w:hint="eastAsia" w:ascii="黑体" w:eastAsia="黑体"/>
          <w:b w:val="0"/>
          <w:bCs w:val="0"/>
        </w:rPr>
      </w:pPr>
      <w:r>
        <w:rPr>
          <w:rFonts w:hint="eastAsia" w:ascii="黑体" w:eastAsia="黑体"/>
          <w:b w:val="0"/>
          <w:bCs w:val="0"/>
        </w:rPr>
        <w:t xml:space="preserve">        </w:t>
      </w:r>
    </w:p>
    <w:tbl>
      <w:tblPr>
        <w:tblStyle w:val="13"/>
        <w:tblW w:w="897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方正仿宋_GBK" w:hAnsi="方正仿宋_GBK" w:eastAsia="方正仿宋_GBK" w:cs="方正仿宋_GBK"/>
                <w:b w:val="0"/>
                <w:bCs w:val="0"/>
                <w:sz w:val="28"/>
              </w:rPr>
            </w:pPr>
            <w:r>
              <w:rPr>
                <w:rFonts w:hint="eastAsia" w:ascii="方正仿宋_GBK" w:hAnsi="方正仿宋_GBK" w:eastAsia="方正仿宋_GBK" w:cs="方正仿宋_GBK"/>
                <w:b w:val="0"/>
                <w:bCs w:val="0"/>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方正仿宋_GBK" w:hAnsi="方正仿宋_GBK" w:eastAsia="方正仿宋_GBK" w:cs="方正仿宋_GBK"/>
                <w:b w:val="0"/>
                <w:bCs w:val="0"/>
                <w:sz w:val="28"/>
              </w:rPr>
            </w:pPr>
            <w:r>
              <w:rPr>
                <w:rFonts w:hint="eastAsia" w:ascii="方正仿宋_GBK" w:hAnsi="方正仿宋_GBK" w:eastAsia="方正仿宋_GBK" w:cs="方正仿宋_GBK"/>
                <w:b w:val="0"/>
                <w:bCs w:val="0"/>
                <w:sz w:val="28"/>
              </w:rPr>
              <w:t>自治区人大常委会办公厅、政协办公厅，</w:t>
            </w:r>
            <w:r>
              <w:rPr>
                <w:rFonts w:hint="eastAsia" w:ascii="方正仿宋_GBK" w:hAnsi="方正仿宋_GBK" w:eastAsia="方正仿宋_GBK" w:cs="方正仿宋_GBK"/>
                <w:b w:val="0"/>
                <w:bCs w:val="0"/>
                <w:sz w:val="28"/>
                <w:lang w:eastAsia="zh-CN"/>
              </w:rPr>
              <w:t>自治区监委，自治区</w:t>
            </w:r>
            <w:r>
              <w:rPr>
                <w:rFonts w:hint="eastAsia" w:ascii="方正仿宋_GBK" w:hAnsi="方正仿宋_GBK" w:eastAsia="方正仿宋_GBK" w:cs="方正仿宋_GBK"/>
                <w:b w:val="0"/>
                <w:bCs w:val="0"/>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方正仿宋_GBK" w:hAnsi="方正仿宋_GBK" w:eastAsia="方正仿宋_GBK" w:cs="方正仿宋_GBK"/>
                <w:b w:val="0"/>
                <w:bCs w:val="0"/>
                <w:sz w:val="28"/>
              </w:rPr>
            </w:pPr>
            <w:r>
              <w:rPr>
                <w:rFonts w:hint="eastAsia" w:ascii="方正仿宋_GBK" w:hAnsi="方正仿宋_GBK" w:eastAsia="方正仿宋_GBK" w:cs="方正仿宋_GBK"/>
                <w:b w:val="0"/>
                <w:bCs w:val="0"/>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74"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ascii="方正仿宋_GBK" w:hAnsi="方正仿宋_GBK" w:eastAsia="方正仿宋_GBK" w:cs="方正仿宋_GBK"/>
                <w:b w:val="0"/>
                <w:bCs w:val="0"/>
                <w:sz w:val="28"/>
              </w:rPr>
            </w:pPr>
            <w:r>
              <w:rPr>
                <w:rFonts w:hint="eastAsia" w:ascii="方正仿宋_GBK" w:hAnsi="方正仿宋_GBK" w:eastAsia="方正仿宋_GBK" w:cs="方正仿宋_GBK"/>
                <w:b w:val="0"/>
                <w:bCs w:val="0"/>
                <w:sz w:val="28"/>
              </w:rPr>
              <w:t>内蒙古自治区人民政府办公厅文电处         202</w:t>
            </w:r>
            <w:r>
              <w:rPr>
                <w:rFonts w:hint="eastAsia" w:ascii="方正仿宋_GBK" w:hAnsi="方正仿宋_GBK" w:eastAsia="方正仿宋_GBK" w:cs="方正仿宋_GBK"/>
                <w:b w:val="0"/>
                <w:bCs w:val="0"/>
                <w:sz w:val="28"/>
                <w:lang w:val="en-US" w:eastAsia="zh-CN"/>
              </w:rPr>
              <w:t>2</w:t>
            </w:r>
            <w:r>
              <w:rPr>
                <w:rFonts w:hint="eastAsia" w:ascii="方正仿宋_GBK" w:hAnsi="方正仿宋_GBK" w:eastAsia="方正仿宋_GBK" w:cs="方正仿宋_GBK"/>
                <w:b w:val="0"/>
                <w:bCs w:val="0"/>
                <w:sz w:val="28"/>
              </w:rPr>
              <w:t>年</w:t>
            </w:r>
            <w:r>
              <w:rPr>
                <w:rFonts w:hint="eastAsia" w:ascii="方正仿宋_GBK" w:hAnsi="方正仿宋_GBK" w:eastAsia="方正仿宋_GBK" w:cs="方正仿宋_GBK"/>
                <w:b w:val="0"/>
                <w:bCs w:val="0"/>
                <w:sz w:val="28"/>
                <w:lang w:val="en-US" w:eastAsia="zh-CN"/>
              </w:rPr>
              <w:t>8</w:t>
            </w:r>
            <w:r>
              <w:rPr>
                <w:rFonts w:hint="eastAsia" w:ascii="方正仿宋_GBK" w:hAnsi="方正仿宋_GBK" w:eastAsia="方正仿宋_GBK" w:cs="方正仿宋_GBK"/>
                <w:b w:val="0"/>
                <w:bCs w:val="0"/>
                <w:sz w:val="28"/>
              </w:rPr>
              <w:t>月</w:t>
            </w:r>
            <w:r>
              <w:rPr>
                <w:rFonts w:hint="eastAsia" w:ascii="方正仿宋_GBK" w:hAnsi="方正仿宋_GBK" w:eastAsia="方正仿宋_GBK" w:cs="方正仿宋_GBK"/>
                <w:b w:val="0"/>
                <w:bCs w:val="0"/>
                <w:sz w:val="28"/>
                <w:lang w:val="en-US" w:eastAsia="zh-CN"/>
              </w:rPr>
              <w:t>22</w:t>
            </w:r>
            <w:r>
              <w:rPr>
                <w:rFonts w:hint="eastAsia" w:ascii="方正仿宋_GBK" w:hAnsi="方正仿宋_GBK" w:eastAsia="方正仿宋_GBK" w:cs="方正仿宋_GBK"/>
                <w:b w:val="0"/>
                <w:bCs w:val="0"/>
                <w:sz w:val="28"/>
              </w:rPr>
              <w:t>日印发</w:t>
            </w:r>
          </w:p>
        </w:tc>
      </w:tr>
    </w:tbl>
    <w:p>
      <w:pPr>
        <w:spacing w:line="20" w:lineRule="exact"/>
        <w:rPr>
          <w:rFonts w:hint="eastAsia"/>
        </w:rPr>
      </w:pPr>
    </w:p>
    <w:sectPr>
      <w:headerReference r:id="rId6" w:type="default"/>
      <w:footerReference r:id="rId8" w:type="default"/>
      <w:headerReference r:id="rId7" w:type="even"/>
      <w:footerReference r:id="rId9"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000"/>
      <w:jc w:val="center"/>
      <w:rPr>
        <w:rFonts w:ascii="Times New Roman" w:hAnsi="Times New Roman"/>
        <w:b/>
        <w:sz w:val="22"/>
        <w:szCs w:val="24"/>
      </w:rPr>
    </w:pPr>
    <w:r>
      <w:rPr>
        <w:sz w:val="2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r6cMBAABwAwAADgAAAGRycy9lMm9Eb2MueG1srVPNjtMwEL4j7TtY&#10;vm+dLRK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Rn+vpwwEAAHADAAAOAAAAAAAAAAEAIAAAAB4BAABkcnMvZTJvRG9jLnhtbFBL&#10;BQYAAAAABgAGAFkBAABTBQ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- 2 -</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srJlbwwEAAHADAAAOAAAAAAAAAAEAIAAAAB4BAABkcnMvZTJvRG9jLnhtbFBL&#10;BQYAAAAABgAGAFkBAABTBQ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- 5 -</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lw2rrCAQAAcAMAAA4AAAAAAAAAAQAgAAAAHgEAAGRycy9lMm9Eb2MueG1sUEsF&#10;BgAAAAAGAAYAWQEAAFIFA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- 5 -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- 4 -</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yPkU7wwEAAHADAAAOAAAAAAAAAAEAIAAAAB4BAABkcnMvZTJvRG9jLnhtbFBL&#10;BQYAAAAABgAGAFkBAABTBQ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- 4 -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4D12"/>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ED7521"/>
    <w:rsid w:val="0436778C"/>
    <w:rsid w:val="0600016F"/>
    <w:rsid w:val="06F96F5D"/>
    <w:rsid w:val="08AE042B"/>
    <w:rsid w:val="09584FCC"/>
    <w:rsid w:val="09A14C31"/>
    <w:rsid w:val="0B041CAD"/>
    <w:rsid w:val="0BDD242F"/>
    <w:rsid w:val="0C07299C"/>
    <w:rsid w:val="0F4B0946"/>
    <w:rsid w:val="0F6E701B"/>
    <w:rsid w:val="100168DD"/>
    <w:rsid w:val="10D92775"/>
    <w:rsid w:val="10E15BDD"/>
    <w:rsid w:val="111D7419"/>
    <w:rsid w:val="11770EC6"/>
    <w:rsid w:val="11AE3271"/>
    <w:rsid w:val="11C01DC5"/>
    <w:rsid w:val="144D29F7"/>
    <w:rsid w:val="155B4522"/>
    <w:rsid w:val="15E44548"/>
    <w:rsid w:val="16615747"/>
    <w:rsid w:val="177D3547"/>
    <w:rsid w:val="179F10C1"/>
    <w:rsid w:val="17E277E0"/>
    <w:rsid w:val="181177A3"/>
    <w:rsid w:val="18244A57"/>
    <w:rsid w:val="18952465"/>
    <w:rsid w:val="1B5406BA"/>
    <w:rsid w:val="1DCC2DD5"/>
    <w:rsid w:val="1DD11934"/>
    <w:rsid w:val="1E075503"/>
    <w:rsid w:val="1ED24BFE"/>
    <w:rsid w:val="1F2122F7"/>
    <w:rsid w:val="1F48029C"/>
    <w:rsid w:val="1F7D0F72"/>
    <w:rsid w:val="202A5424"/>
    <w:rsid w:val="21CE6298"/>
    <w:rsid w:val="22F30316"/>
    <w:rsid w:val="23111364"/>
    <w:rsid w:val="232C587B"/>
    <w:rsid w:val="24961D63"/>
    <w:rsid w:val="24DE22B5"/>
    <w:rsid w:val="25C65DE1"/>
    <w:rsid w:val="25DE70E3"/>
    <w:rsid w:val="25E84530"/>
    <w:rsid w:val="261B7E10"/>
    <w:rsid w:val="28B640A0"/>
    <w:rsid w:val="28FB3254"/>
    <w:rsid w:val="291164CE"/>
    <w:rsid w:val="29623132"/>
    <w:rsid w:val="2C4B77FC"/>
    <w:rsid w:val="2C966981"/>
    <w:rsid w:val="2E84799A"/>
    <w:rsid w:val="2F1660EC"/>
    <w:rsid w:val="2FFF6941"/>
    <w:rsid w:val="30504A0B"/>
    <w:rsid w:val="317171DD"/>
    <w:rsid w:val="322369C2"/>
    <w:rsid w:val="326D505C"/>
    <w:rsid w:val="330A7D14"/>
    <w:rsid w:val="33D468B5"/>
    <w:rsid w:val="348E4F06"/>
    <w:rsid w:val="355B09FD"/>
    <w:rsid w:val="36BF4035"/>
    <w:rsid w:val="370A6D13"/>
    <w:rsid w:val="37EF2CED"/>
    <w:rsid w:val="39EE5068"/>
    <w:rsid w:val="3B2C7697"/>
    <w:rsid w:val="3BB47E21"/>
    <w:rsid w:val="3C1B2F10"/>
    <w:rsid w:val="3D95CCF3"/>
    <w:rsid w:val="3E83307E"/>
    <w:rsid w:val="3F474D32"/>
    <w:rsid w:val="3FE22D80"/>
    <w:rsid w:val="42CB207B"/>
    <w:rsid w:val="431B7920"/>
    <w:rsid w:val="44B164FA"/>
    <w:rsid w:val="45835913"/>
    <w:rsid w:val="46F90B96"/>
    <w:rsid w:val="4B4C0881"/>
    <w:rsid w:val="4E55781F"/>
    <w:rsid w:val="4ED8360D"/>
    <w:rsid w:val="4F057591"/>
    <w:rsid w:val="5043343D"/>
    <w:rsid w:val="50B3607B"/>
    <w:rsid w:val="5153325F"/>
    <w:rsid w:val="51855FCA"/>
    <w:rsid w:val="52356842"/>
    <w:rsid w:val="5265DC70"/>
    <w:rsid w:val="52FD5BFA"/>
    <w:rsid w:val="53F85F14"/>
    <w:rsid w:val="54670AE8"/>
    <w:rsid w:val="55240ED5"/>
    <w:rsid w:val="58B52452"/>
    <w:rsid w:val="59A95D4F"/>
    <w:rsid w:val="5AE0595F"/>
    <w:rsid w:val="5B3E03EA"/>
    <w:rsid w:val="5B5455DE"/>
    <w:rsid w:val="5BBA2DD0"/>
    <w:rsid w:val="5BDA5D31"/>
    <w:rsid w:val="5C107629"/>
    <w:rsid w:val="5E091D8C"/>
    <w:rsid w:val="5E316126"/>
    <w:rsid w:val="606F3971"/>
    <w:rsid w:val="60737FEC"/>
    <w:rsid w:val="6077625C"/>
    <w:rsid w:val="61F058CD"/>
    <w:rsid w:val="6304383B"/>
    <w:rsid w:val="63671D85"/>
    <w:rsid w:val="641A33C8"/>
    <w:rsid w:val="64EC784A"/>
    <w:rsid w:val="65246D5C"/>
    <w:rsid w:val="669C219D"/>
    <w:rsid w:val="66C1602C"/>
    <w:rsid w:val="66FC648B"/>
    <w:rsid w:val="6747F5FC"/>
    <w:rsid w:val="677302B9"/>
    <w:rsid w:val="687652F6"/>
    <w:rsid w:val="69D03EA2"/>
    <w:rsid w:val="6A1C2667"/>
    <w:rsid w:val="6A5054DF"/>
    <w:rsid w:val="6A6B644C"/>
    <w:rsid w:val="6ABF0A60"/>
    <w:rsid w:val="6BB136B7"/>
    <w:rsid w:val="6C4224FE"/>
    <w:rsid w:val="6DFA1037"/>
    <w:rsid w:val="6ECF23D3"/>
    <w:rsid w:val="6F8630B8"/>
    <w:rsid w:val="6FFB57AD"/>
    <w:rsid w:val="71494AA4"/>
    <w:rsid w:val="726344BC"/>
    <w:rsid w:val="75F634F5"/>
    <w:rsid w:val="77006C69"/>
    <w:rsid w:val="77460C63"/>
    <w:rsid w:val="77705643"/>
    <w:rsid w:val="777C1240"/>
    <w:rsid w:val="77D76099"/>
    <w:rsid w:val="789462D7"/>
    <w:rsid w:val="78946D87"/>
    <w:rsid w:val="798F7C7F"/>
    <w:rsid w:val="79D94036"/>
    <w:rsid w:val="7B055FD7"/>
    <w:rsid w:val="7B7BA919"/>
    <w:rsid w:val="7BA80FC2"/>
    <w:rsid w:val="7BFFB9F4"/>
    <w:rsid w:val="7EEF9474"/>
    <w:rsid w:val="7F733578"/>
    <w:rsid w:val="7FF5B409"/>
    <w:rsid w:val="7FFB035C"/>
    <w:rsid w:val="870B54AE"/>
    <w:rsid w:val="973CA270"/>
    <w:rsid w:val="BACEAA3E"/>
    <w:rsid w:val="BEDBB268"/>
    <w:rsid w:val="D4F67E85"/>
    <w:rsid w:val="D7EB4D1F"/>
    <w:rsid w:val="E73B27D4"/>
    <w:rsid w:val="EBBB772C"/>
    <w:rsid w:val="EBEB8582"/>
    <w:rsid w:val="F7DD2909"/>
    <w:rsid w:val="F7F547F9"/>
    <w:rsid w:val="FAE7D53C"/>
    <w:rsid w:val="FDBB33EB"/>
    <w:rsid w:val="FDC6E3F6"/>
    <w:rsid w:val="FF7D82DA"/>
    <w:rsid w:val="FFB6198E"/>
    <w:rsid w:val="FFE723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ind w:firstLine="0" w:firstLineChars="0"/>
      <w:outlineLvl w:val="0"/>
    </w:pPr>
    <w:rPr>
      <w:rFonts w:ascii="Times New Roman" w:hAnsi="Times New Roman" w:eastAsia="宋体" w:cs="Mongolian Baiti"/>
      <w:b/>
      <w:bCs/>
      <w:kern w:val="44"/>
      <w:sz w:val="44"/>
      <w:szCs w:val="44"/>
      <w:lang w:bidi="mn-Mong-CN"/>
    </w:rPr>
  </w:style>
  <w:style w:type="paragraph" w:styleId="3">
    <w:name w:val="heading 2"/>
    <w:basedOn w:val="1"/>
    <w:next w:val="1"/>
    <w:unhideWhenUsed/>
    <w:qFormat/>
    <w:uiPriority w:val="0"/>
    <w:pPr>
      <w:keepNext/>
      <w:keepLines/>
      <w:spacing w:before="260" w:after="260" w:line="416" w:lineRule="atLeast"/>
      <w:outlineLvl w:val="1"/>
    </w:pPr>
    <w:rPr>
      <w:rFonts w:ascii="Cambria" w:hAnsi="Cambria" w:eastAsia="宋体" w:cs="Mongolian Baiti"/>
      <w:b/>
      <w:bCs/>
      <w:sz w:val="32"/>
      <w:szCs w:val="32"/>
      <w:lang w:bidi="mn-Mong-CN"/>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Date"/>
    <w:basedOn w:val="1"/>
    <w:next w:val="1"/>
    <w:link w:val="19"/>
    <w:uiPriority w:val="0"/>
    <w:pPr>
      <w:ind w:left="100" w:leftChars="2500"/>
    </w:pPr>
    <w:rPr>
      <w:rFonts w:ascii="仿宋_GB2312" w:eastAsia="仿宋_GB2312"/>
      <w:sz w:val="32"/>
    </w:rPr>
  </w:style>
  <w:style w:type="paragraph" w:styleId="6">
    <w:name w:val="Body Text Indent 2"/>
    <w:basedOn w:val="1"/>
    <w:qFormat/>
    <w:uiPriority w:val="0"/>
    <w:pPr>
      <w:spacing w:line="360" w:lineRule="auto"/>
      <w:ind w:firstLine="480" w:firstLineChars="0"/>
    </w:pPr>
    <w:rPr>
      <w:rFonts w:ascii="Calibri" w:hAnsi="Times New Roman" w:eastAsia="宋体" w:cs="Mongolian Baiti"/>
      <w:szCs w:val="28"/>
      <w:lang w:bidi="mn-Mong-CN"/>
    </w:rPr>
  </w:style>
  <w:style w:type="paragraph" w:styleId="7">
    <w:name w:val="Balloon Text"/>
    <w:basedOn w:val="1"/>
    <w:semiHidden/>
    <w:uiPriority w:val="0"/>
    <w:rPr>
      <w:sz w:val="18"/>
      <w:szCs w:val="18"/>
    </w:rPr>
  </w:style>
  <w:style w:type="paragraph" w:styleId="8">
    <w:name w:val="footer"/>
    <w:basedOn w:val="1"/>
    <w:link w:val="20"/>
    <w:uiPriority w:val="0"/>
    <w:pPr>
      <w:tabs>
        <w:tab w:val="center" w:pos="4153"/>
        <w:tab w:val="right" w:pos="8306"/>
      </w:tabs>
      <w:snapToGrid w:val="0"/>
      <w:jc w:val="left"/>
    </w:pPr>
    <w:rPr>
      <w:sz w:val="18"/>
      <w:szCs w:val="18"/>
    </w:rPr>
  </w:style>
  <w:style w:type="paragraph" w:styleId="9">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before="120" w:after="120"/>
      <w:jc w:val="left"/>
    </w:pPr>
    <w:rPr>
      <w:rFonts w:ascii="Calibri" w:hAnsi="Calibri" w:eastAsia="宋体" w:cs="Mongolian Baiti"/>
      <w:b/>
      <w:bCs/>
      <w:caps/>
      <w:sz w:val="20"/>
      <w:szCs w:val="20"/>
      <w:lang w:bidi="mn-Mong-CN"/>
    </w:rPr>
  </w:style>
  <w:style w:type="paragraph" w:styleId="11">
    <w:name w:val="toc 2"/>
    <w:basedOn w:val="1"/>
    <w:next w:val="1"/>
    <w:unhideWhenUsed/>
    <w:qFormat/>
    <w:uiPriority w:val="39"/>
    <w:pPr>
      <w:ind w:left="280"/>
      <w:jc w:val="left"/>
    </w:pPr>
    <w:rPr>
      <w:rFonts w:ascii="Calibri" w:hAnsi="Calibri" w:eastAsia="宋体" w:cs="Mongolian Baiti"/>
      <w:smallCaps/>
      <w:sz w:val="20"/>
      <w:szCs w:val="20"/>
      <w:lang w:bidi="mn-Mong-CN"/>
    </w:rPr>
  </w:style>
  <w:style w:type="paragraph" w:styleId="12">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8"/>
      <w:lang w:bidi="mn-Mong-CN"/>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character" w:styleId="17">
    <w:name w:val="Hyperlink"/>
    <w:unhideWhenUsed/>
    <w:qFormat/>
    <w:uiPriority w:val="99"/>
    <w:rPr>
      <w:rFonts w:ascii="Calibri" w:hAnsi="Calibri" w:eastAsia="宋体" w:cs="Mongolian Baiti"/>
      <w:color w:val="0000FF"/>
      <w:u w:val="single"/>
    </w:rPr>
  </w:style>
  <w:style w:type="paragraph" w:customStyle="1" w:styleId="18">
    <w:name w:val="TOC 标题1"/>
    <w:basedOn w:val="2"/>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character" w:customStyle="1" w:styleId="19">
    <w:name w:val=" Char Char1"/>
    <w:basedOn w:val="15"/>
    <w:link w:val="5"/>
    <w:uiPriority w:val="0"/>
    <w:rPr>
      <w:rFonts w:ascii="仿宋_GB2312" w:hAnsi="Times New Roman" w:eastAsia="仿宋_GB2312" w:cs="Times New Roman"/>
      <w:kern w:val="2"/>
      <w:sz w:val="32"/>
      <w:szCs w:val="24"/>
      <w:lang w:bidi="ar-SA"/>
    </w:rPr>
  </w:style>
  <w:style w:type="character" w:customStyle="1" w:styleId="20">
    <w:name w:val=" Char Char2"/>
    <w:basedOn w:val="15"/>
    <w:link w:val="8"/>
    <w:semiHidden/>
    <w:uiPriority w:val="99"/>
    <w:rPr>
      <w:rFonts w:ascii="Calibri" w:hAnsi="Calibri" w:eastAsia="宋体" w:cs="Mongolian Baiti"/>
      <w:kern w:val="2"/>
      <w:sz w:val="18"/>
      <w:szCs w:val="22"/>
    </w:rPr>
  </w:style>
  <w:style w:type="character" w:customStyle="1" w:styleId="21">
    <w:name w:val=" Char Char"/>
    <w:basedOn w:val="15"/>
    <w:link w:val="9"/>
    <w:semiHidden/>
    <w:uiPriority w:val="99"/>
    <w:rPr>
      <w:rFonts w:ascii="Calibri" w:hAnsi="Calibri" w:eastAsia="宋体" w:cs="Mongolian Baiti"/>
      <w:kern w:val="2"/>
      <w:sz w:val="18"/>
      <w:szCs w:val="22"/>
    </w:rPr>
  </w:style>
  <w:style w:type="character" w:customStyle="1" w:styleId="22">
    <w:name w:val="页脚 Char"/>
    <w:basedOn w:val="15"/>
    <w:qFormat/>
    <w:uiPriority w:val="99"/>
    <w:rPr>
      <w:rFonts w:ascii="Calibri" w:hAnsi="Calibri" w:eastAsia="宋体" w:cs="Times New Roman"/>
      <w:kern w:val="2"/>
      <w:sz w:val="18"/>
      <w:szCs w:val="18"/>
      <w:lang w:val="en-US" w:eastAsia="zh-CN" w:bidi="ar-SA"/>
    </w:rPr>
  </w:style>
  <w:style w:type="character" w:customStyle="1" w:styleId="23">
    <w:name w:val="日期 Char"/>
    <w:basedOn w:val="15"/>
    <w:semiHidden/>
    <w:qFormat/>
    <w:uiPriority w:val="99"/>
    <w:rPr>
      <w:rFonts w:ascii="Times New Roman" w:hAnsi="Times New Roman" w:eastAsia="宋体" w:cs="Times New Roman"/>
      <w:kern w:val="2"/>
      <w:sz w:val="21"/>
      <w:szCs w:val="24"/>
      <w:lang w:val="en-US" w:eastAsia="zh-CN" w:bidi="ar-SA"/>
    </w:rPr>
  </w:style>
  <w:style w:type="character" w:customStyle="1" w:styleId="24">
    <w:name w:val="页眉 Char"/>
    <w:basedOn w:val="15"/>
    <w:semiHidden/>
    <w:qFormat/>
    <w:uiPriority w:val="99"/>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30</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dcterms:modified xsi:type="dcterms:W3CDTF">2022-08-26T09:05:39Z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