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96F87">
      <w:pPr>
        <w:spacing w:line="600" w:lineRule="exact"/>
        <w:jc w:val="center"/>
        <w:rPr>
          <w:rFonts w:hint="eastAsia" w:ascii="方正小标宋简体" w:hAnsi="宋体" w:eastAsia="方正小标宋简体" w:cs="Times New Roman"/>
          <w:sz w:val="44"/>
          <w:szCs w:val="44"/>
        </w:rPr>
      </w:pPr>
    </w:p>
    <w:p w14:paraId="595CAEA3">
      <w:pPr>
        <w:spacing w:line="600" w:lineRule="exact"/>
        <w:jc w:val="center"/>
        <w:rPr>
          <w:rFonts w:hint="eastAsia" w:ascii="方正小标宋简体" w:hAnsi="宋体" w:eastAsia="方正小标宋简体" w:cs="Times New Roman"/>
          <w:sz w:val="44"/>
          <w:szCs w:val="44"/>
        </w:rPr>
      </w:pPr>
    </w:p>
    <w:p w14:paraId="667EBD44">
      <w:pPr>
        <w:spacing w:line="600" w:lineRule="exact"/>
        <w:jc w:val="center"/>
        <w:rPr>
          <w:rFonts w:hint="eastAsia" w:ascii="方正小标宋简体" w:hAnsi="宋体" w:eastAsia="方正小标宋简体" w:cs="Times New Roman"/>
          <w:sz w:val="44"/>
          <w:szCs w:val="44"/>
        </w:rPr>
      </w:pPr>
    </w:p>
    <w:p w14:paraId="752D7C2C">
      <w:pPr>
        <w:spacing w:line="600" w:lineRule="exact"/>
        <w:jc w:val="center"/>
        <w:rPr>
          <w:rFonts w:hint="eastAsia" w:ascii="方正小标宋简体" w:hAnsi="宋体" w:eastAsia="方正小标宋简体" w:cs="Times New Roman"/>
          <w:sz w:val="44"/>
          <w:szCs w:val="44"/>
        </w:rPr>
      </w:pPr>
    </w:p>
    <w:p w14:paraId="36492BCF">
      <w:pPr>
        <w:spacing w:line="600" w:lineRule="exact"/>
        <w:jc w:val="center"/>
        <w:rPr>
          <w:rFonts w:hint="eastAsia" w:ascii="方正小标宋简体" w:hAnsi="宋体" w:eastAsia="方正小标宋简体" w:cs="Times New Roman"/>
          <w:sz w:val="44"/>
          <w:szCs w:val="44"/>
        </w:rPr>
      </w:pPr>
    </w:p>
    <w:p w14:paraId="6EBD3303">
      <w:pPr>
        <w:spacing w:line="600" w:lineRule="exact"/>
        <w:jc w:val="center"/>
        <w:rPr>
          <w:rFonts w:ascii="方正小标宋简体" w:hAnsi="宋体" w:eastAsia="方正小标宋简体" w:cs="Times New Roman"/>
          <w:sz w:val="44"/>
          <w:szCs w:val="44"/>
        </w:rPr>
      </w:pPr>
      <w:r>
        <w:rPr>
          <w:rFonts w:hint="eastAsia" w:ascii="方正小标宋简体" w:hAnsi="宋体" w:eastAsia="方正小标宋简体" w:cs="Times New Roman"/>
          <w:sz w:val="44"/>
          <w:szCs w:val="44"/>
        </w:rPr>
        <w:t>内蒙古自治区人民政府</w:t>
      </w:r>
    </w:p>
    <w:p w14:paraId="4974B63D">
      <w:pPr>
        <w:spacing w:line="600" w:lineRule="exact"/>
        <w:jc w:val="center"/>
        <w:rPr>
          <w:rFonts w:hint="eastAsia" w:eastAsia="方正小标宋简体"/>
          <w:sz w:val="44"/>
          <w:szCs w:val="44"/>
          <w:lang w:eastAsia="zh-CN"/>
        </w:rPr>
      </w:pPr>
      <w:r>
        <w:rPr>
          <w:rFonts w:hint="eastAsia" w:ascii="方正小标宋简体" w:hAnsi="宋体" w:eastAsia="方正小标宋简体" w:cs="Times New Roman"/>
          <w:sz w:val="44"/>
          <w:szCs w:val="44"/>
        </w:rPr>
        <w:t>关于</w:t>
      </w:r>
      <w:r>
        <w:rPr>
          <w:rFonts w:hint="eastAsia" w:eastAsia="方正小标宋简体"/>
          <w:sz w:val="44"/>
          <w:szCs w:val="44"/>
          <w:lang w:eastAsia="zh-CN"/>
        </w:rPr>
        <w:t>印发《内蒙古自治区国土空间规划</w:t>
      </w:r>
    </w:p>
    <w:p w14:paraId="0264E2E9">
      <w:pPr>
        <w:spacing w:line="600" w:lineRule="exact"/>
        <w:jc w:val="center"/>
        <w:rPr>
          <w:rFonts w:hint="eastAsia" w:ascii="方正小标宋简体" w:hAnsi="宋体" w:eastAsia="方正小标宋简体" w:cs="Times New Roman"/>
          <w:sz w:val="44"/>
          <w:szCs w:val="44"/>
          <w:lang w:eastAsia="zh-CN"/>
        </w:rPr>
      </w:pPr>
      <w:r>
        <w:rPr>
          <w:rFonts w:hint="eastAsia" w:eastAsia="方正小标宋简体"/>
          <w:sz w:val="44"/>
          <w:szCs w:val="44"/>
          <w:lang w:eastAsia="zh-CN"/>
        </w:rPr>
        <w:t>（</w:t>
      </w:r>
      <w:r>
        <w:rPr>
          <w:rFonts w:hint="eastAsia" w:eastAsia="方正小标宋简体"/>
          <w:sz w:val="44"/>
          <w:szCs w:val="44"/>
          <w:lang w:val="en-US" w:eastAsia="zh-CN"/>
        </w:rPr>
        <w:t>2021—2035年</w:t>
      </w:r>
      <w:r>
        <w:rPr>
          <w:rFonts w:hint="eastAsia" w:eastAsia="方正小标宋简体"/>
          <w:sz w:val="44"/>
          <w:szCs w:val="44"/>
          <w:lang w:eastAsia="zh-CN"/>
        </w:rPr>
        <w:t>）》</w:t>
      </w:r>
      <w:r>
        <w:rPr>
          <w:rFonts w:hint="eastAsia" w:ascii="方正小标宋简体" w:hAnsi="宋体" w:eastAsia="方正小标宋简体" w:cs="Times New Roman"/>
          <w:sz w:val="44"/>
          <w:szCs w:val="44"/>
        </w:rPr>
        <w:t>的</w:t>
      </w:r>
      <w:r>
        <w:rPr>
          <w:rFonts w:hint="eastAsia" w:ascii="方正小标宋简体" w:hAnsi="宋体" w:eastAsia="方正小标宋简体" w:cs="Times New Roman"/>
          <w:sz w:val="44"/>
          <w:szCs w:val="44"/>
          <w:lang w:eastAsia="zh-CN"/>
        </w:rPr>
        <w:t>通知</w:t>
      </w:r>
    </w:p>
    <w:p w14:paraId="4DC24F29">
      <w:pPr>
        <w:spacing w:line="360" w:lineRule="auto"/>
        <w:jc w:val="center"/>
        <w:rPr>
          <w:rFonts w:ascii="楷体_GB2312" w:eastAsia="楷体_GB2312"/>
          <w:kern w:val="0"/>
          <w:sz w:val="32"/>
          <w:szCs w:val="32"/>
        </w:rPr>
      </w:pPr>
      <w:r>
        <w:rPr>
          <w:rFonts w:hint="eastAsia" w:ascii="楷体_GB2312" w:eastAsia="楷体_GB2312"/>
          <w:kern w:val="0"/>
          <w:sz w:val="32"/>
          <w:szCs w:val="32"/>
          <w:lang w:eastAsia="zh-CN"/>
        </w:rPr>
        <w:t>内政发</w:t>
      </w: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32</w:t>
      </w:r>
      <w:r>
        <w:rPr>
          <w:rFonts w:ascii="Times New Roman" w:hAnsi="Times New Roman" w:eastAsia="仿宋_GB2312" w:cs="Times New Roman"/>
          <w:sz w:val="32"/>
          <w:szCs w:val="32"/>
        </w:rPr>
        <w:t>号</w:t>
      </w:r>
    </w:p>
    <w:p w14:paraId="148191D5">
      <w:pPr>
        <w:spacing w:line="360" w:lineRule="auto"/>
        <w:rPr>
          <w:rFonts w:hAnsi="仿宋_GB2312" w:eastAsia="仿宋_GB2312"/>
          <w:color w:val="000000"/>
          <w:kern w:val="0"/>
          <w:sz w:val="32"/>
          <w:szCs w:val="32"/>
        </w:rPr>
      </w:pPr>
    </w:p>
    <w:p w14:paraId="7730DBD7">
      <w:pPr>
        <w:spacing w:line="360" w:lineRule="auto"/>
        <w:rPr>
          <w:rFonts w:eastAsia="仿宋_GB2312"/>
          <w:kern w:val="0"/>
          <w:sz w:val="32"/>
          <w:szCs w:val="32"/>
        </w:rPr>
      </w:pPr>
      <w:r>
        <w:rPr>
          <w:rFonts w:hint="eastAsia" w:hAnsi="仿宋_GB2312" w:eastAsia="仿宋_GB2312"/>
          <w:color w:val="000000"/>
          <w:kern w:val="0"/>
          <w:sz w:val="32"/>
          <w:szCs w:val="32"/>
          <w:lang w:eastAsia="zh-CN"/>
        </w:rPr>
        <w:t>各盟行政公署、市人民政府，自治区各委、办、厅、局，各大企业、事业单位</w:t>
      </w:r>
      <w:r>
        <w:rPr>
          <w:rFonts w:eastAsia="仿宋_GB2312"/>
          <w:kern w:val="0"/>
          <w:sz w:val="32"/>
          <w:szCs w:val="32"/>
        </w:rPr>
        <w:t>：</w:t>
      </w:r>
    </w:p>
    <w:p w14:paraId="4774653F">
      <w:pPr>
        <w:spacing w:line="360" w:lineRule="auto"/>
        <w:ind w:firstLine="640" w:firstLineChars="200"/>
        <w:rPr>
          <w:rFonts w:hint="eastAsia" w:eastAsia="仿宋_GB2312"/>
          <w:color w:val="000000"/>
          <w:kern w:val="0"/>
          <w:sz w:val="32"/>
          <w:szCs w:val="32"/>
          <w:lang w:eastAsia="zh-CN"/>
        </w:rPr>
      </w:pPr>
      <w:r>
        <w:rPr>
          <w:rFonts w:hint="eastAsia" w:hAnsi="仿宋_GB2312" w:eastAsia="仿宋_GB2312"/>
          <w:kern w:val="0"/>
          <w:sz w:val="32"/>
          <w:szCs w:val="32"/>
        </w:rPr>
        <w:t>《内蒙古自治区国土空间规划（2021—2035年）</w:t>
      </w:r>
      <w:r>
        <w:rPr>
          <w:rFonts w:eastAsia="仿宋_GB2312"/>
          <w:color w:val="000000"/>
          <w:kern w:val="0"/>
          <w:sz w:val="32"/>
          <w:szCs w:val="32"/>
        </w:rPr>
        <w:t>》</w:t>
      </w:r>
      <w:r>
        <w:rPr>
          <w:rFonts w:hint="eastAsia" w:eastAsia="仿宋_GB2312"/>
          <w:color w:val="000000"/>
          <w:kern w:val="0"/>
          <w:sz w:val="32"/>
          <w:szCs w:val="32"/>
          <w:lang w:eastAsia="zh-CN"/>
        </w:rPr>
        <w:t>已经国务院批复同意，现印发给你们，请结合实际，认真组织实施。</w:t>
      </w:r>
    </w:p>
    <w:p w14:paraId="40B1F611">
      <w:pPr>
        <w:spacing w:line="600" w:lineRule="exact"/>
        <w:jc w:val="center"/>
        <w:rPr>
          <w:rFonts w:eastAsia="仿宋_GB2312"/>
          <w:sz w:val="32"/>
          <w:szCs w:val="32"/>
        </w:rPr>
      </w:pPr>
    </w:p>
    <w:p w14:paraId="0CD65067">
      <w:pPr>
        <w:spacing w:line="600" w:lineRule="exact"/>
        <w:jc w:val="center"/>
        <w:rPr>
          <w:rFonts w:eastAsia="仿宋_GB2312"/>
          <w:sz w:val="32"/>
          <w:szCs w:val="32"/>
        </w:rPr>
      </w:pPr>
    </w:p>
    <w:p w14:paraId="29357A9E">
      <w:pPr>
        <w:spacing w:line="600" w:lineRule="exact"/>
        <w:jc w:val="center"/>
        <w:rPr>
          <w:rFonts w:eastAsia="仿宋_GB2312"/>
          <w:sz w:val="32"/>
          <w:szCs w:val="32"/>
        </w:rPr>
      </w:pPr>
      <w:r>
        <w:rPr>
          <w:rFonts w:eastAsia="仿宋_GB2312"/>
          <w:sz w:val="32"/>
          <w:szCs w:val="32"/>
        </w:rPr>
        <w:t xml:space="preserve">              </w:t>
      </w:r>
    </w:p>
    <w:p w14:paraId="647E337F">
      <w:pPr>
        <w:autoSpaceDE w:val="0"/>
        <w:autoSpaceDN w:val="0"/>
        <w:spacing w:line="360" w:lineRule="auto"/>
        <w:ind w:firstLine="640" w:firstLineChars="200"/>
        <w:jc w:val="center"/>
        <w:outlineLvl w:val="0"/>
        <w:rPr>
          <w:rFonts w:hint="eastAsia" w:ascii="Times New Roman" w:hAnsi="仿宋_GB2312" w:eastAsia="仿宋_GB2312" w:cs="Times New Roman"/>
          <w:kern w:val="0"/>
          <w:sz w:val="32"/>
          <w:szCs w:val="32"/>
        </w:rPr>
      </w:pPr>
      <w:r>
        <w:rPr>
          <w:rFonts w:eastAsia="仿宋_GB2312"/>
          <w:color w:val="000000"/>
          <w:kern w:val="0"/>
          <w:sz w:val="32"/>
          <w:szCs w:val="32"/>
        </w:rPr>
        <w:t xml:space="preserve">             </w:t>
      </w:r>
      <w:r>
        <w:rPr>
          <w:rFonts w:hint="eastAsia" w:ascii="Times New Roman" w:hAnsi="仿宋_GB2312" w:eastAsia="仿宋_GB2312" w:cs="Times New Roman"/>
          <w:kern w:val="0"/>
          <w:sz w:val="32"/>
          <w:szCs w:val="32"/>
        </w:rPr>
        <w:t xml:space="preserve"> 2024年</w:t>
      </w:r>
      <w:r>
        <w:rPr>
          <w:rFonts w:hint="eastAsia" w:ascii="Times New Roman" w:hAnsi="仿宋_GB2312" w:eastAsia="仿宋_GB2312" w:cs="Times New Roman"/>
          <w:kern w:val="0"/>
          <w:sz w:val="32"/>
          <w:szCs w:val="32"/>
          <w:lang w:val="en-US" w:eastAsia="zh-CN"/>
        </w:rPr>
        <w:t>7</w:t>
      </w:r>
      <w:r>
        <w:rPr>
          <w:rFonts w:hint="eastAsia" w:ascii="Times New Roman" w:hAnsi="仿宋_GB2312" w:eastAsia="仿宋_GB2312" w:cs="Times New Roman"/>
          <w:kern w:val="0"/>
          <w:sz w:val="32"/>
          <w:szCs w:val="32"/>
        </w:rPr>
        <w:t>月</w:t>
      </w:r>
      <w:r>
        <w:rPr>
          <w:rFonts w:hint="eastAsia" w:ascii="Times New Roman" w:hAnsi="仿宋_GB2312" w:eastAsia="仿宋_GB2312" w:cs="Times New Roman"/>
          <w:kern w:val="0"/>
          <w:sz w:val="32"/>
          <w:szCs w:val="32"/>
          <w:lang w:val="en-US" w:eastAsia="zh-CN"/>
        </w:rPr>
        <w:t>3</w:t>
      </w:r>
      <w:r>
        <w:rPr>
          <w:rFonts w:hint="eastAsia" w:ascii="Times New Roman" w:hAnsi="仿宋_GB2312" w:eastAsia="仿宋_GB2312" w:cs="Times New Roman"/>
          <w:kern w:val="0"/>
          <w:sz w:val="32"/>
          <w:szCs w:val="32"/>
        </w:rPr>
        <w:t>日</w:t>
      </w:r>
    </w:p>
    <w:p w14:paraId="78C46425">
      <w:pPr>
        <w:rPr>
          <w:rFonts w:eastAsia="仿宋_GB2312"/>
          <w:sz w:val="32"/>
          <w:szCs w:val="32"/>
        </w:rPr>
      </w:pPr>
    </w:p>
    <w:p w14:paraId="03197A4A">
      <w:pPr>
        <w:ind w:firstLine="640" w:firstLineChars="200"/>
        <w:rPr>
          <w:rFonts w:eastAsia="仿宋_GB2312"/>
          <w:sz w:val="32"/>
          <w:szCs w:val="32"/>
        </w:rPr>
      </w:pPr>
      <w:r>
        <w:rPr>
          <w:rFonts w:eastAsia="仿宋_GB2312"/>
          <w:sz w:val="32"/>
          <w:szCs w:val="32"/>
        </w:rPr>
        <w:t>（</w:t>
      </w:r>
      <w:r>
        <w:rPr>
          <w:rFonts w:hint="eastAsia" w:eastAsia="仿宋_GB2312"/>
          <w:sz w:val="32"/>
          <w:szCs w:val="32"/>
          <w:lang w:eastAsia="zh-CN"/>
        </w:rPr>
        <w:t>本文有删减</w:t>
      </w:r>
      <w:r>
        <w:rPr>
          <w:rFonts w:eastAsia="仿宋_GB2312"/>
          <w:sz w:val="32"/>
          <w:szCs w:val="32"/>
        </w:rPr>
        <w:t>）</w:t>
      </w:r>
    </w:p>
    <w:p w14:paraId="4B66B349">
      <w:pPr>
        <w:spacing w:line="360" w:lineRule="auto"/>
        <w:rPr>
          <w:rFonts w:hint="eastAsia" w:eastAsia="仿宋"/>
          <w:b/>
          <w:bCs/>
          <w:sz w:val="36"/>
          <w:szCs w:val="36"/>
        </w:rPr>
      </w:pPr>
    </w:p>
    <w:p w14:paraId="37B3ABEA">
      <w:pPr>
        <w:spacing w:line="360" w:lineRule="auto"/>
        <w:rPr>
          <w:rFonts w:eastAsia="仿宋"/>
          <w:b/>
          <w:bCs/>
          <w:sz w:val="36"/>
          <w:szCs w:val="36"/>
        </w:rPr>
      </w:pPr>
    </w:p>
    <w:p w14:paraId="2C653AC0">
      <w:pPr>
        <w:spacing w:line="360" w:lineRule="auto"/>
        <w:jc w:val="center"/>
        <w:rPr>
          <w:rFonts w:eastAsia="仿宋"/>
          <w:b/>
          <w:bCs/>
          <w:sz w:val="36"/>
          <w:szCs w:val="36"/>
        </w:rPr>
      </w:pPr>
    </w:p>
    <w:p w14:paraId="19CCD39D">
      <w:pPr>
        <w:spacing w:line="360" w:lineRule="auto"/>
        <w:jc w:val="center"/>
        <w:rPr>
          <w:rFonts w:eastAsia="仿宋"/>
          <w:b/>
          <w:bCs/>
          <w:sz w:val="36"/>
          <w:szCs w:val="36"/>
        </w:rPr>
      </w:pPr>
    </w:p>
    <w:p w14:paraId="76B897FD">
      <w:pPr>
        <w:spacing w:line="360" w:lineRule="auto"/>
        <w:jc w:val="center"/>
        <w:rPr>
          <w:rFonts w:eastAsia="仿宋"/>
          <w:b/>
          <w:bCs/>
          <w:sz w:val="36"/>
          <w:szCs w:val="36"/>
        </w:rPr>
      </w:pPr>
    </w:p>
    <w:p w14:paraId="0F5ECE0D">
      <w:pPr>
        <w:spacing w:line="360" w:lineRule="auto"/>
        <w:jc w:val="center"/>
        <w:rPr>
          <w:rFonts w:eastAsia="仿宋"/>
          <w:b/>
          <w:bCs/>
          <w:sz w:val="36"/>
          <w:szCs w:val="36"/>
        </w:rPr>
      </w:pPr>
    </w:p>
    <w:p w14:paraId="27B0B8DB">
      <w:pPr>
        <w:adjustRightInd w:val="0"/>
        <w:snapToGrid w:val="0"/>
        <w:jc w:val="center"/>
        <w:outlineLvl w:val="0"/>
        <w:rPr>
          <w:rFonts w:hint="eastAsia" w:ascii="方正小标宋简体" w:eastAsia="方正小标宋简体"/>
          <w:bCs/>
          <w:spacing w:val="20"/>
          <w:sz w:val="44"/>
          <w:szCs w:val="52"/>
        </w:rPr>
      </w:pPr>
      <w:bookmarkStart w:id="0" w:name="_Toc155861037"/>
      <w:bookmarkStart w:id="1" w:name="_Toc160715616"/>
      <w:bookmarkStart w:id="2" w:name="_Toc156464119"/>
      <w:r>
        <w:rPr>
          <w:rFonts w:hint="eastAsia" w:ascii="方正小标宋简体" w:eastAsia="方正小标宋简体"/>
          <w:bCs/>
          <w:spacing w:val="20"/>
          <w:sz w:val="44"/>
          <w:szCs w:val="52"/>
        </w:rPr>
        <w:t>内蒙古自治区国土空间规划</w:t>
      </w:r>
      <w:bookmarkEnd w:id="0"/>
      <w:bookmarkEnd w:id="1"/>
      <w:bookmarkEnd w:id="2"/>
    </w:p>
    <w:p w14:paraId="469497D6">
      <w:pPr>
        <w:jc w:val="center"/>
        <w:rPr>
          <w:rFonts w:hint="eastAsia" w:ascii="方正小标宋简体" w:eastAsia="方正小标宋简体"/>
          <w:bCs/>
          <w:sz w:val="44"/>
          <w:szCs w:val="52"/>
        </w:rPr>
      </w:pPr>
      <w:bookmarkStart w:id="3" w:name="_Toc23526534"/>
      <w:r>
        <w:rPr>
          <w:rFonts w:hint="eastAsia" w:ascii="方正小标宋简体" w:eastAsia="方正小标宋简体"/>
          <w:bCs/>
          <w:sz w:val="44"/>
          <w:szCs w:val="52"/>
        </w:rPr>
        <w:t>（2021-2035年）</w:t>
      </w:r>
      <w:bookmarkEnd w:id="3"/>
    </w:p>
    <w:p w14:paraId="1A62A515">
      <w:pPr>
        <w:jc w:val="center"/>
        <w:rPr>
          <w:rFonts w:eastAsia="方正小标宋_GBK"/>
          <w:b/>
          <w:bCs/>
          <w:sz w:val="52"/>
          <w:szCs w:val="52"/>
        </w:rPr>
      </w:pPr>
    </w:p>
    <w:p w14:paraId="277DEF38">
      <w:pPr>
        <w:spacing w:line="360" w:lineRule="auto"/>
        <w:jc w:val="center"/>
        <w:rPr>
          <w:rFonts w:eastAsia="方正小标宋_GBK"/>
          <w:bCs/>
          <w:sz w:val="44"/>
          <w:szCs w:val="36"/>
        </w:rPr>
      </w:pPr>
    </w:p>
    <w:p w14:paraId="69445689">
      <w:pPr>
        <w:spacing w:before="312" w:beforeLines="100" w:after="312" w:afterLines="100"/>
        <w:jc w:val="center"/>
        <w:rPr>
          <w:rFonts w:eastAsia="黑体"/>
          <w:b/>
          <w:sz w:val="44"/>
          <w:szCs w:val="32"/>
        </w:rPr>
      </w:pPr>
    </w:p>
    <w:p w14:paraId="0C829792">
      <w:pPr>
        <w:rPr>
          <w:rFonts w:eastAsia="黑体"/>
          <w:sz w:val="44"/>
          <w:szCs w:val="32"/>
        </w:rPr>
      </w:pPr>
    </w:p>
    <w:p w14:paraId="61DC6BEA">
      <w:pPr>
        <w:rPr>
          <w:rFonts w:eastAsia="黑体"/>
          <w:sz w:val="44"/>
          <w:szCs w:val="32"/>
        </w:rPr>
      </w:pPr>
    </w:p>
    <w:p w14:paraId="32D07A95">
      <w:pPr>
        <w:rPr>
          <w:rFonts w:eastAsia="黑体"/>
          <w:sz w:val="44"/>
          <w:szCs w:val="32"/>
        </w:rPr>
      </w:pPr>
    </w:p>
    <w:p w14:paraId="1FE1AAAC">
      <w:pPr>
        <w:rPr>
          <w:rFonts w:eastAsia="黑体"/>
          <w:sz w:val="44"/>
          <w:szCs w:val="32"/>
        </w:rPr>
      </w:pPr>
    </w:p>
    <w:p w14:paraId="539A74B8">
      <w:pPr>
        <w:rPr>
          <w:rFonts w:eastAsia="黑体"/>
          <w:sz w:val="44"/>
          <w:szCs w:val="32"/>
        </w:rPr>
      </w:pPr>
    </w:p>
    <w:p w14:paraId="027E4E94">
      <w:pPr>
        <w:rPr>
          <w:rFonts w:eastAsia="黑体"/>
          <w:sz w:val="44"/>
          <w:szCs w:val="32"/>
        </w:rPr>
      </w:pPr>
    </w:p>
    <w:p w14:paraId="61EF3AB6">
      <w:pPr>
        <w:rPr>
          <w:rFonts w:eastAsia="黑体"/>
          <w:sz w:val="44"/>
          <w:szCs w:val="32"/>
        </w:rPr>
      </w:pPr>
    </w:p>
    <w:p w14:paraId="53346349">
      <w:pPr>
        <w:rPr>
          <w:rFonts w:eastAsia="黑体"/>
          <w:sz w:val="44"/>
          <w:szCs w:val="32"/>
        </w:rPr>
      </w:pPr>
    </w:p>
    <w:p w14:paraId="4AA3E07C">
      <w:pPr>
        <w:tabs>
          <w:tab w:val="left" w:pos="2569"/>
        </w:tabs>
        <w:jc w:val="center"/>
        <w:rPr>
          <w:rFonts w:eastAsia="黑体"/>
          <w:sz w:val="36"/>
          <w:szCs w:val="36"/>
        </w:rPr>
      </w:pPr>
    </w:p>
    <w:p w14:paraId="73737AFA">
      <w:pPr>
        <w:rPr>
          <w:rFonts w:eastAsia="黑体"/>
          <w:szCs w:val="32"/>
        </w:rPr>
      </w:pPr>
    </w:p>
    <w:p w14:paraId="4A6BFD3A">
      <w:pPr>
        <w:jc w:val="center"/>
        <w:rPr>
          <w:rFonts w:eastAsia="方正小标宋_GBK"/>
          <w:sz w:val="40"/>
          <w:szCs w:val="40"/>
        </w:rPr>
        <w:sectPr>
          <w:pgSz w:w="11906" w:h="16838"/>
          <w:pgMar w:top="1701" w:right="1531" w:bottom="1531" w:left="1531" w:header="851" w:footer="992" w:gutter="0"/>
          <w:pgNumType w:start="1"/>
          <w:cols w:space="720" w:num="1"/>
          <w:docGrid w:type="lines" w:linePitch="312" w:charSpace="0"/>
        </w:sectPr>
      </w:pPr>
      <w:bookmarkStart w:id="4" w:name="_Toc5482"/>
    </w:p>
    <w:p w14:paraId="769E7C36">
      <w:pPr>
        <w:jc w:val="center"/>
        <w:rPr>
          <w:rFonts w:hint="eastAsia" w:ascii="方正小标宋简体" w:eastAsia="方正小标宋简体"/>
          <w:sz w:val="44"/>
          <w:szCs w:val="40"/>
          <w:highlight w:val="none"/>
        </w:rPr>
      </w:pPr>
      <w:r>
        <w:rPr>
          <w:rFonts w:hint="eastAsia" w:ascii="方正小标宋简体" w:eastAsia="方正小标宋简体"/>
          <w:sz w:val="44"/>
          <w:szCs w:val="40"/>
          <w:highlight w:val="none"/>
        </w:rPr>
        <w:t>目  录</w:t>
      </w:r>
      <w:bookmarkEnd w:id="4"/>
    </w:p>
    <w:p w14:paraId="40A606FF">
      <w:pPr>
        <w:pStyle w:val="18"/>
        <w:tabs>
          <w:tab w:val="right" w:leader="dot" w:pos="8834"/>
        </w:tabs>
        <w:rPr>
          <w:rFonts w:ascii="仿宋" w:hAnsi="仿宋" w:eastAsia="仿宋" w:cs="Times New Roman"/>
          <w:b w:val="0"/>
          <w:bCs w:val="0"/>
          <w:caps w:val="0"/>
          <w:sz w:val="32"/>
          <w:szCs w:val="32"/>
        </w:rPr>
      </w:pPr>
      <w:r>
        <w:rPr>
          <w:rFonts w:ascii="仿宋" w:hAnsi="仿宋" w:eastAsia="仿宋" w:cs="Times New Roman"/>
          <w:b w:val="0"/>
          <w:bCs w:val="0"/>
          <w:caps w:val="0"/>
          <w:smallCaps/>
          <w:sz w:val="32"/>
          <w:szCs w:val="32"/>
        </w:rPr>
        <w:fldChar w:fldCharType="begin"/>
      </w:r>
      <w:r>
        <w:rPr>
          <w:rFonts w:ascii="仿宋" w:hAnsi="仿宋" w:eastAsia="仿宋" w:cs="Times New Roman"/>
          <w:b w:val="0"/>
          <w:bCs w:val="0"/>
          <w:caps w:val="0"/>
          <w:smallCaps/>
          <w:sz w:val="32"/>
          <w:szCs w:val="32"/>
        </w:rPr>
        <w:instrText xml:space="preserve"> TOC \o "1-2" \h \z \u </w:instrText>
      </w:r>
      <w:r>
        <w:rPr>
          <w:rFonts w:ascii="仿宋" w:hAnsi="仿宋" w:eastAsia="仿宋" w:cs="Times New Roman"/>
          <w:b w:val="0"/>
          <w:bCs w:val="0"/>
          <w:caps w:val="0"/>
          <w:smallCaps/>
          <w:sz w:val="32"/>
          <w:szCs w:val="32"/>
        </w:rPr>
        <w:fldChar w:fldCharType="separate"/>
      </w:r>
      <w:r>
        <w:rPr>
          <w:rStyle w:val="35"/>
          <w:rFonts w:ascii="仿宋" w:hAnsi="仿宋" w:eastAsia="仿宋"/>
          <w:sz w:val="32"/>
          <w:szCs w:val="32"/>
        </w:rPr>
        <w:fldChar w:fldCharType="begin"/>
      </w:r>
      <w:r>
        <w:rPr>
          <w:rStyle w:val="35"/>
          <w:rFonts w:ascii="仿宋" w:hAnsi="仿宋" w:eastAsia="仿宋"/>
          <w:sz w:val="32"/>
          <w:szCs w:val="32"/>
        </w:rPr>
        <w:instrText xml:space="preserve"> </w:instrText>
      </w:r>
      <w:r>
        <w:rPr>
          <w:rFonts w:ascii="仿宋" w:hAnsi="仿宋" w:eastAsia="仿宋"/>
          <w:sz w:val="32"/>
          <w:szCs w:val="32"/>
        </w:rPr>
        <w:instrText xml:space="preserve">HYPERLINK \l "_Toc160715617"</w:instrText>
      </w:r>
      <w:r>
        <w:rPr>
          <w:rStyle w:val="35"/>
          <w:rFonts w:ascii="仿宋" w:hAnsi="仿宋" w:eastAsia="仿宋"/>
          <w:sz w:val="32"/>
          <w:szCs w:val="32"/>
        </w:rPr>
        <w:instrText xml:space="preserve"> </w:instrText>
      </w:r>
      <w:r>
        <w:rPr>
          <w:rStyle w:val="35"/>
          <w:rFonts w:ascii="仿宋" w:hAnsi="仿宋" w:eastAsia="仿宋"/>
          <w:sz w:val="32"/>
          <w:szCs w:val="32"/>
        </w:rPr>
        <w:fldChar w:fldCharType="separate"/>
      </w:r>
      <w:r>
        <w:rPr>
          <w:rStyle w:val="35"/>
          <w:rFonts w:ascii="仿宋" w:hAnsi="仿宋" w:eastAsia="仿宋"/>
          <w:sz w:val="32"/>
          <w:szCs w:val="32"/>
        </w:rPr>
        <w:fldChar w:fldCharType="end"/>
      </w:r>
    </w:p>
    <w:p w14:paraId="356685E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第一章 国土空间现状和态势</w:t>
      </w:r>
    </w:p>
    <w:p w14:paraId="075B3E4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自然地理格局与资源禀赋</w:t>
      </w:r>
    </w:p>
    <w:p w14:paraId="4E261CD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国土空间保护开发现状及主要问题</w:t>
      </w:r>
    </w:p>
    <w:p w14:paraId="029AE7E3">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国土空间保护开发面临机遇和挑战</w:t>
      </w:r>
    </w:p>
    <w:p w14:paraId="3C73585F">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第二章 国土空间保护开发目标与战略</w:t>
      </w:r>
    </w:p>
    <w:p w14:paraId="31C0AF7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指导思想</w:t>
      </w:r>
    </w:p>
    <w:p w14:paraId="11741B1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主要目标</w:t>
      </w:r>
    </w:p>
    <w:p w14:paraId="0093000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保护开发战略</w:t>
      </w:r>
    </w:p>
    <w:p w14:paraId="3647723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第三章 以“三区三线”为基础，构建国土空间保护开发新格局</w:t>
      </w:r>
    </w:p>
    <w:p w14:paraId="5F1F1F73">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严守三条控制线</w:t>
      </w:r>
    </w:p>
    <w:p w14:paraId="474EDEE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优化主体功能区</w:t>
      </w:r>
    </w:p>
    <w:p w14:paraId="35FF920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国土空间保护开发新格局</w:t>
      </w:r>
    </w:p>
    <w:p w14:paraId="3A5B099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第四章 构建绿色高效农牧空间</w:t>
      </w:r>
    </w:p>
    <w:p w14:paraId="378CBBF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巩固农牧空间</w:t>
      </w:r>
    </w:p>
    <w:p w14:paraId="0DE01A7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加强耕地保护</w:t>
      </w:r>
    </w:p>
    <w:p w14:paraId="0BC9A3C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推进草原保护性利用</w:t>
      </w:r>
    </w:p>
    <w:p w14:paraId="4D818D9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推动美丽乡村建设</w:t>
      </w:r>
    </w:p>
    <w:p w14:paraId="46A6174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强化农牧空间管控</w:t>
      </w:r>
    </w:p>
    <w:p w14:paraId="387D972F">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第五章 筑牢安全韧性生态空间</w:t>
      </w:r>
    </w:p>
    <w:p w14:paraId="3969C33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建立自然保护地体系</w:t>
      </w:r>
    </w:p>
    <w:p w14:paraId="678BEC7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提升重要空间生态功能</w:t>
      </w:r>
    </w:p>
    <w:p w14:paraId="3CFD0E2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严格生态空间管控</w:t>
      </w:r>
    </w:p>
    <w:p w14:paraId="5A92B44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建立完善生态保护补偿机制</w:t>
      </w:r>
    </w:p>
    <w:p w14:paraId="40FB551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第六章 塑造多元宜居城镇空间</w:t>
      </w:r>
    </w:p>
    <w:p w14:paraId="4909EDF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优化城镇体系和空间格局</w:t>
      </w:r>
    </w:p>
    <w:p w14:paraId="21D5707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合理布局产业空间</w:t>
      </w:r>
    </w:p>
    <w:p w14:paraId="53DBD69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提升城镇空间品质</w:t>
      </w:r>
    </w:p>
    <w:p w14:paraId="352A0E9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增强城镇空间安全韧性</w:t>
      </w:r>
    </w:p>
    <w:p w14:paraId="03C0CF8B">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强化城镇空间管控</w:t>
      </w:r>
    </w:p>
    <w:p w14:paraId="46DEBA0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第七章 厚植开放共享魅力国土</w:t>
      </w:r>
    </w:p>
    <w:p w14:paraId="72060F4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保护传承历史文化</w:t>
      </w:r>
    </w:p>
    <w:p w14:paraId="71F58C63">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发掘保护自然景观</w:t>
      </w:r>
    </w:p>
    <w:p w14:paraId="250FF763">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营造美丽城乡风貌</w:t>
      </w:r>
    </w:p>
    <w:p w14:paraId="636D1BB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彰显特色魅力国土</w:t>
      </w:r>
    </w:p>
    <w:p w14:paraId="32E675F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第八章 加强区域协调联动</w:t>
      </w:r>
    </w:p>
    <w:p w14:paraId="1F1A4FC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助力高水平对外开放</w:t>
      </w:r>
    </w:p>
    <w:p w14:paraId="69A4FF4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推动黄河流域协同保护</w:t>
      </w:r>
    </w:p>
    <w:p w14:paraId="40EC2F1B">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强化省际协调联动</w:t>
      </w:r>
    </w:p>
    <w:p w14:paraId="2FE5277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推进重点地区间协调</w:t>
      </w:r>
    </w:p>
    <w:p w14:paraId="3DC4B013">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保障特殊类型地区发展空间</w:t>
      </w:r>
    </w:p>
    <w:p w14:paraId="556BF09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第九章 实施国土综合整治和生态修复</w:t>
      </w:r>
    </w:p>
    <w:p w14:paraId="1899032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统筹山水林田湖草沙系统治理</w:t>
      </w:r>
    </w:p>
    <w:p w14:paraId="3E2E159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推进土地综合整治</w:t>
      </w:r>
    </w:p>
    <w:p w14:paraId="7F5B8D2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推动城镇低效用地再开发</w:t>
      </w:r>
    </w:p>
    <w:p w14:paraId="657795E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加强矿山生态修复</w:t>
      </w:r>
    </w:p>
    <w:p w14:paraId="10224CDF">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第十章 强化资源保护和节约利用</w:t>
      </w:r>
    </w:p>
    <w:p w14:paraId="0366BE1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加大水资源节约和保护力度</w:t>
      </w:r>
    </w:p>
    <w:p w14:paraId="6B08BE6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加强重要生态资源保护</w:t>
      </w:r>
    </w:p>
    <w:p w14:paraId="4807A56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提高建设用地利用效率</w:t>
      </w:r>
    </w:p>
    <w:p w14:paraId="59F04A8B">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推动矿产资源保护与综合利用</w:t>
      </w:r>
    </w:p>
    <w:p w14:paraId="4AB4AC9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第十一章 提高国土空间支撑保障能力</w:t>
      </w:r>
    </w:p>
    <w:p w14:paraId="59D2A31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保障综合交通运输网络空间</w:t>
      </w:r>
    </w:p>
    <w:p w14:paraId="78F6FFAB">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强化水利设施用地保障</w:t>
      </w:r>
    </w:p>
    <w:p w14:paraId="3A4DDD7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加强能源综合保障能力</w:t>
      </w:r>
    </w:p>
    <w:p w14:paraId="1B1CC4B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推动信息基础设施建设</w:t>
      </w:r>
    </w:p>
    <w:p w14:paraId="7FEDB54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健全综合防灾减灾体系</w:t>
      </w:r>
    </w:p>
    <w:p w14:paraId="177CD88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第六节 强化重大基础设施空间统筹</w:t>
      </w:r>
    </w:p>
    <w:p w14:paraId="267BB50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第十二章 规划传导</w:t>
      </w:r>
    </w:p>
    <w:p w14:paraId="23CD7BA1">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加强盟市规划指导</w:t>
      </w:r>
    </w:p>
    <w:p w14:paraId="4B71C22E">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强化专项规划约束</w:t>
      </w:r>
    </w:p>
    <w:p w14:paraId="08CFF0AF">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近期规划</w:t>
      </w:r>
    </w:p>
    <w:p w14:paraId="2B17CA3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第十三章 规划实施</w:t>
      </w:r>
    </w:p>
    <w:p w14:paraId="29A71E4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加强党的领导</w:t>
      </w:r>
    </w:p>
    <w:p w14:paraId="1255F4BF">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制定配套政策</w:t>
      </w:r>
    </w:p>
    <w:p w14:paraId="72706247">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完善实施机制</w:t>
      </w:r>
    </w:p>
    <w:p w14:paraId="692D070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统一平台建设</w:t>
      </w:r>
    </w:p>
    <w:p w14:paraId="6C369DEE">
      <w:pPr>
        <w:rPr>
          <w:sz w:val="32"/>
          <w:szCs w:val="32"/>
        </w:rPr>
      </w:pPr>
      <w:r>
        <w:rPr>
          <w:rFonts w:hint="eastAsia" w:ascii="仿宋_GB2312" w:hAnsi="仿宋_GB2312" w:eastAsia="仿宋_GB2312" w:cs="仿宋_GB2312"/>
          <w:sz w:val="32"/>
          <w:szCs w:val="32"/>
        </w:rPr>
        <w:t>第五节 强化监督管理</w:t>
      </w:r>
    </w:p>
    <w:p w14:paraId="1D3E063C">
      <w:pPr>
        <w:pStyle w:val="22"/>
        <w:tabs>
          <w:tab w:val="right" w:leader="dot" w:pos="8834"/>
        </w:tabs>
        <w:rPr>
          <w:rFonts w:ascii="仿宋" w:hAnsi="仿宋" w:eastAsia="仿宋" w:cs="Times New Roman"/>
          <w:smallCaps w:val="0"/>
          <w:sz w:val="32"/>
          <w:szCs w:val="32"/>
        </w:rPr>
      </w:pPr>
    </w:p>
    <w:p w14:paraId="2582295F">
      <w:pPr>
        <w:pStyle w:val="18"/>
        <w:tabs>
          <w:tab w:val="right" w:leader="dot" w:pos="8844"/>
        </w:tabs>
        <w:spacing w:line="600" w:lineRule="exact"/>
        <w:jc w:val="center"/>
        <w:rPr>
          <w:rFonts w:ascii="Times New Roman" w:hAnsi="Times New Roman" w:eastAsia="仿宋_GB2312" w:cs="Times New Roman"/>
          <w:szCs w:val="32"/>
        </w:rPr>
      </w:pPr>
      <w:r>
        <w:rPr>
          <w:rFonts w:ascii="仿宋" w:hAnsi="仿宋" w:eastAsia="仿宋" w:cs="Times New Roman"/>
          <w:sz w:val="32"/>
          <w:szCs w:val="32"/>
        </w:rPr>
        <w:fldChar w:fldCharType="end"/>
      </w:r>
      <w:bookmarkStart w:id="5" w:name="_Toc41921151"/>
      <w:bookmarkStart w:id="6" w:name="_Toc55544737"/>
      <w:bookmarkStart w:id="7" w:name="_Toc58653758"/>
      <w:bookmarkStart w:id="8" w:name="_Toc58138486"/>
      <w:bookmarkStart w:id="9" w:name="_Toc60479399"/>
      <w:bookmarkStart w:id="10" w:name="_Toc58266339"/>
      <w:bookmarkStart w:id="11" w:name="_Toc58050341"/>
      <w:bookmarkStart w:id="12" w:name="_Toc57215538"/>
      <w:bookmarkStart w:id="13" w:name="_Toc28162746"/>
    </w:p>
    <w:p w14:paraId="42732A48">
      <w:pPr>
        <w:pStyle w:val="18"/>
        <w:tabs>
          <w:tab w:val="right" w:leader="dot" w:pos="8844"/>
        </w:tabs>
        <w:spacing w:line="600" w:lineRule="exact"/>
        <w:jc w:val="center"/>
        <w:rPr>
          <w:rStyle w:val="81"/>
          <w:rFonts w:eastAsia="方正小标宋_GBK"/>
          <w:b/>
          <w:bCs/>
          <w:sz w:val="36"/>
          <w:szCs w:val="36"/>
        </w:rPr>
        <w:sectPr>
          <w:footerReference r:id="rId5" w:type="default"/>
          <w:pgSz w:w="11906" w:h="16838"/>
          <w:pgMar w:top="1701" w:right="1531" w:bottom="1531" w:left="1531" w:header="851" w:footer="992" w:gutter="0"/>
          <w:pgNumType w:start="1"/>
          <w:cols w:space="720" w:num="1"/>
          <w:docGrid w:type="lines" w:linePitch="312" w:charSpace="0"/>
        </w:sectPr>
      </w:pPr>
      <w:bookmarkStart w:id="14" w:name="_Toc57215528"/>
      <w:bookmarkStart w:id="15" w:name="_Toc6212"/>
      <w:bookmarkStart w:id="16" w:name="_Toc57734234"/>
    </w:p>
    <w:bookmarkEnd w:id="14"/>
    <w:bookmarkEnd w:id="15"/>
    <w:bookmarkEnd w:id="16"/>
    <w:p w14:paraId="03684BFC">
      <w:pPr>
        <w:pStyle w:val="2"/>
        <w:keepNext w:val="0"/>
        <w:keepLines w:val="0"/>
        <w:spacing w:before="312" w:beforeLines="100" w:after="312" w:afterLines="100" w:line="240" w:lineRule="auto"/>
        <w:jc w:val="center"/>
        <w:rPr>
          <w:rFonts w:hint="eastAsia" w:ascii="方正小标宋简体" w:eastAsia="方正小标宋简体"/>
          <w:b w:val="0"/>
          <w:bCs w:val="0"/>
          <w:sz w:val="36"/>
          <w:szCs w:val="32"/>
        </w:rPr>
      </w:pPr>
      <w:bookmarkStart w:id="17" w:name="_Toc155861039"/>
      <w:bookmarkStart w:id="18" w:name="_Toc160715618"/>
      <w:r>
        <w:rPr>
          <w:rFonts w:hint="eastAsia" w:ascii="方正小标宋简体" w:eastAsia="方正小标宋简体"/>
          <w:b w:val="0"/>
          <w:bCs w:val="0"/>
          <w:sz w:val="36"/>
          <w:szCs w:val="32"/>
        </w:rPr>
        <w:t xml:space="preserve">第一章 </w:t>
      </w:r>
      <w:bookmarkEnd w:id="5"/>
      <w:bookmarkEnd w:id="6"/>
      <w:r>
        <w:rPr>
          <w:rFonts w:hint="eastAsia" w:ascii="方正小标宋简体" w:eastAsia="方正小标宋简体"/>
          <w:b w:val="0"/>
          <w:bCs w:val="0"/>
          <w:sz w:val="36"/>
          <w:szCs w:val="32"/>
        </w:rPr>
        <w:t>国土空间现状和态势</w:t>
      </w:r>
      <w:bookmarkEnd w:id="7"/>
      <w:bookmarkEnd w:id="8"/>
      <w:bookmarkEnd w:id="9"/>
      <w:bookmarkEnd w:id="17"/>
      <w:bookmarkEnd w:id="18"/>
    </w:p>
    <w:p w14:paraId="0C8CA1DF">
      <w:pPr>
        <w:pStyle w:val="25"/>
        <w:widowControl w:val="0"/>
        <w:spacing w:before="0" w:beforeAutospacing="0" w:after="0" w:afterAutospacing="0" w:line="600" w:lineRule="exact"/>
        <w:ind w:firstLine="640"/>
        <w:jc w:val="both"/>
        <w:rPr>
          <w:rFonts w:hint="eastAsia" w:ascii="仿宋_GB2312" w:hAnsi="Times New Roman" w:eastAsia="仿宋_GB2312" w:cs="Times New Roman"/>
          <w:sz w:val="32"/>
          <w:szCs w:val="32"/>
        </w:rPr>
      </w:pPr>
      <w:bookmarkStart w:id="19" w:name="_Toc55544738"/>
      <w:bookmarkStart w:id="20" w:name="_Toc41137885"/>
      <w:bookmarkStart w:id="21" w:name="_Toc58138487"/>
      <w:bookmarkStart w:id="22" w:name="_Toc58653759"/>
      <w:bookmarkStart w:id="23" w:name="_Toc60479400"/>
      <w:r>
        <w:rPr>
          <w:rFonts w:hint="eastAsia" w:ascii="仿宋_GB2312" w:hAnsi="Times New Roman" w:eastAsia="仿宋_GB2312" w:cs="Times New Roman"/>
          <w:sz w:val="32"/>
          <w:szCs w:val="32"/>
        </w:rPr>
        <w:t>内蒙古自治区位于祖国北部边疆，横跨我国东北、华北和西北，边境线长达4200余公里，是我国北方面积最大、种类最全的生态功能区，要立足国家战略需要和区情基础，深刻认识内蒙古自治区发展环境面临的机遇与挑战，走生态优先、绿色发展为导向的高质量发展新路子。</w:t>
      </w:r>
    </w:p>
    <w:p w14:paraId="6B5D9679">
      <w:pPr>
        <w:pStyle w:val="3"/>
        <w:spacing w:before="156" w:beforeLines="50" w:after="156" w:afterLines="50" w:line="600" w:lineRule="exact"/>
        <w:rPr>
          <w:rFonts w:ascii="Times New Roman" w:hAnsi="Times New Roman"/>
          <w:b w:val="0"/>
          <w:bCs w:val="0"/>
        </w:rPr>
      </w:pPr>
      <w:bookmarkStart w:id="24" w:name="_Toc155861040"/>
      <w:bookmarkStart w:id="25" w:name="_Toc160715619"/>
      <w:r>
        <w:rPr>
          <w:rFonts w:ascii="Times New Roman" w:hAnsi="Times New Roman"/>
          <w:b w:val="0"/>
          <w:bCs w:val="0"/>
        </w:rPr>
        <w:t>第一节 自然地理</w:t>
      </w:r>
      <w:bookmarkEnd w:id="19"/>
      <w:bookmarkEnd w:id="20"/>
      <w:bookmarkEnd w:id="21"/>
      <w:r>
        <w:rPr>
          <w:rFonts w:ascii="Times New Roman" w:hAnsi="Times New Roman"/>
          <w:b w:val="0"/>
          <w:bCs w:val="0"/>
        </w:rPr>
        <w:t>格局与资源禀赋</w:t>
      </w:r>
      <w:bookmarkEnd w:id="22"/>
      <w:bookmarkEnd w:id="23"/>
      <w:bookmarkEnd w:id="24"/>
      <w:bookmarkEnd w:id="25"/>
    </w:p>
    <w:bookmarkEnd w:id="10"/>
    <w:bookmarkEnd w:id="11"/>
    <w:bookmarkEnd w:id="12"/>
    <w:p w14:paraId="5B3FC9BF">
      <w:pPr>
        <w:pStyle w:val="25"/>
        <w:widowControl w:val="0"/>
        <w:spacing w:before="0" w:beforeAutospacing="0" w:after="0" w:afterAutospacing="0" w:line="600" w:lineRule="exact"/>
        <w:ind w:firstLine="624"/>
        <w:jc w:val="both"/>
        <w:rPr>
          <w:rFonts w:ascii="Times New Roman" w:hAnsi="Times New Roman" w:eastAsia="仿宋_GB2312" w:cs="Times New Roman"/>
          <w:spacing w:val="-4"/>
          <w:sz w:val="32"/>
          <w:szCs w:val="32"/>
        </w:rPr>
      </w:pPr>
      <w:r>
        <w:rPr>
          <w:rFonts w:ascii="Times New Roman" w:hAnsi="Times New Roman" w:eastAsia="楷体_GB2312" w:cs="Times New Roman"/>
          <w:bCs/>
          <w:spacing w:val="-4"/>
          <w:sz w:val="32"/>
          <w:szCs w:val="32"/>
        </w:rPr>
        <w:t>地貌复杂多样，自然地理独特。</w:t>
      </w:r>
      <w:r>
        <w:rPr>
          <w:rFonts w:ascii="Times New Roman" w:hAnsi="Times New Roman" w:eastAsia="仿宋_GB2312" w:cs="Times New Roman"/>
          <w:spacing w:val="-4"/>
          <w:sz w:val="32"/>
          <w:szCs w:val="32"/>
        </w:rPr>
        <w:t>内蒙古</w:t>
      </w:r>
      <w:r>
        <w:rPr>
          <w:rFonts w:hint="eastAsia" w:ascii="Times New Roman" w:hAnsi="Times New Roman" w:eastAsia="仿宋_GB2312" w:cs="Times New Roman"/>
          <w:spacing w:val="-4"/>
          <w:sz w:val="32"/>
          <w:szCs w:val="32"/>
        </w:rPr>
        <w:t>自治区</w:t>
      </w:r>
      <w:r>
        <w:rPr>
          <w:rFonts w:ascii="Times New Roman" w:hAnsi="Times New Roman" w:eastAsia="仿宋_GB2312" w:cs="Times New Roman"/>
          <w:spacing w:val="-4"/>
          <w:sz w:val="32"/>
          <w:szCs w:val="32"/>
        </w:rPr>
        <w:t>主要有山地、丘陵、高原、平原、滩川、沙地、沙漠、戈壁等</w:t>
      </w:r>
      <w:r>
        <w:rPr>
          <w:rFonts w:hint="eastAsia" w:ascii="Times New Roman" w:hAnsi="Times New Roman" w:eastAsia="仿宋_GB2312" w:cs="Times New Roman"/>
          <w:spacing w:val="-4"/>
          <w:sz w:val="32"/>
          <w:szCs w:val="32"/>
        </w:rPr>
        <w:t>地貌。</w:t>
      </w:r>
      <w:r>
        <w:rPr>
          <w:rFonts w:ascii="Times New Roman" w:hAnsi="Times New Roman" w:eastAsia="仿宋_GB2312" w:cs="Times New Roman"/>
          <w:spacing w:val="-4"/>
          <w:sz w:val="32"/>
          <w:szCs w:val="32"/>
        </w:rPr>
        <w:t>中生代白垩纪前后，地球板块运动隆起先后形成大兴安岭、阴山、贺兰山等山脉，构成内蒙古地貌的</w:t>
      </w:r>
      <w:r>
        <w:rPr>
          <w:rFonts w:hint="eastAsia" w:ascii="Times New Roman" w:hAnsi="Times New Roman" w:eastAsia="仿宋_GB2312" w:cs="Times New Roman"/>
          <w:spacing w:val="-4"/>
          <w:sz w:val="32"/>
          <w:szCs w:val="32"/>
        </w:rPr>
        <w:t>“</w:t>
      </w:r>
      <w:r>
        <w:rPr>
          <w:rFonts w:ascii="Times New Roman" w:hAnsi="Times New Roman" w:eastAsia="仿宋_GB2312" w:cs="Times New Roman"/>
          <w:spacing w:val="-4"/>
          <w:sz w:val="32"/>
          <w:szCs w:val="32"/>
        </w:rPr>
        <w:t>主骨架</w:t>
      </w:r>
      <w:r>
        <w:rPr>
          <w:rFonts w:hint="eastAsia" w:ascii="Times New Roman" w:hAnsi="Times New Roman" w:eastAsia="仿宋_GB2312" w:cs="Times New Roman"/>
          <w:spacing w:val="-4"/>
          <w:sz w:val="32"/>
          <w:szCs w:val="32"/>
        </w:rPr>
        <w:t>”</w:t>
      </w:r>
      <w:r>
        <w:rPr>
          <w:rFonts w:ascii="Times New Roman" w:hAnsi="Times New Roman" w:eastAsia="仿宋_GB2312" w:cs="Times New Roman"/>
          <w:spacing w:val="-4"/>
          <w:sz w:val="32"/>
          <w:szCs w:val="32"/>
        </w:rPr>
        <w:t>，形成草原畜牧业与农牧业生产的分界线</w:t>
      </w:r>
      <w:r>
        <w:rPr>
          <w:rFonts w:hint="eastAsia" w:ascii="Times New Roman" w:hAnsi="Times New Roman" w:eastAsia="仿宋_GB2312" w:cs="Times New Roman"/>
          <w:spacing w:val="-4"/>
          <w:sz w:val="32"/>
          <w:szCs w:val="32"/>
        </w:rPr>
        <w:t>，是中国乃至东亚地区的生态防线。区域分布特色鲜明，</w:t>
      </w:r>
      <w:r>
        <w:rPr>
          <w:rFonts w:ascii="Times New Roman" w:hAnsi="Times New Roman" w:eastAsia="仿宋_GB2312" w:cs="Times New Roman"/>
          <w:spacing w:val="-4"/>
          <w:sz w:val="32"/>
          <w:szCs w:val="32"/>
        </w:rPr>
        <w:t>东部有大兴安岭茫茫林海，西部是浩瀚绵延沙漠戈壁，南部多平原及丘陵沟壑区，北部是沿边辽阔草原。</w:t>
      </w:r>
    </w:p>
    <w:p w14:paraId="4BF79F7B">
      <w:pPr>
        <w:spacing w:line="600" w:lineRule="exact"/>
        <w:ind w:firstLine="640" w:firstLineChars="200"/>
        <w:rPr>
          <w:rFonts w:eastAsia="仿宋"/>
          <w:sz w:val="32"/>
          <w:szCs w:val="32"/>
        </w:rPr>
      </w:pPr>
      <w:r>
        <w:rPr>
          <w:rFonts w:eastAsia="楷体_GB2312"/>
          <w:bCs/>
          <w:kern w:val="0"/>
          <w:sz w:val="32"/>
          <w:szCs w:val="32"/>
        </w:rPr>
        <w:t>草地广袤，地带性分异明显。</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草原是欧亚大陆温带草原重要组成部分，自东向西依次分布有草甸草原、典型草原、荒漠草原、草原化荒漠和荒漠等地带性植被草原类型，依序形成了呼伦贝尔、科尔沁、锡林郭勒、乌兰察布、鄂尔多斯、阿拉善六大草原。</w:t>
      </w:r>
    </w:p>
    <w:p w14:paraId="10447907">
      <w:pPr>
        <w:spacing w:line="600" w:lineRule="exact"/>
        <w:ind w:firstLine="640" w:firstLineChars="200"/>
        <w:rPr>
          <w:rFonts w:eastAsia="仿宋_GB2312"/>
          <w:kern w:val="0"/>
          <w:sz w:val="32"/>
          <w:szCs w:val="32"/>
        </w:rPr>
      </w:pPr>
      <w:r>
        <w:rPr>
          <w:rFonts w:eastAsia="楷体_GB2312"/>
          <w:bCs/>
          <w:kern w:val="0"/>
          <w:sz w:val="32"/>
          <w:szCs w:val="32"/>
        </w:rPr>
        <w:t>林地居全国之首，集中分布于大兴安岭。</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林地主要分布在大兴安岭原始林</w:t>
      </w:r>
      <w:r>
        <w:rPr>
          <w:rFonts w:eastAsia="仿宋_GB2312"/>
          <w:kern w:val="0"/>
          <w:sz w:val="32"/>
          <w:szCs w:val="32"/>
          <w:highlight w:val="none"/>
        </w:rPr>
        <w:t>区和11片次生林区</w:t>
      </w:r>
      <w:r>
        <w:rPr>
          <w:rFonts w:eastAsia="仿宋_GB2312"/>
          <w:kern w:val="0"/>
          <w:sz w:val="32"/>
          <w:szCs w:val="32"/>
        </w:rPr>
        <w:t>，居全国首位。</w:t>
      </w:r>
    </w:p>
    <w:p w14:paraId="0A6D318E">
      <w:pPr>
        <w:spacing w:line="600" w:lineRule="exact"/>
        <w:ind w:firstLine="640" w:firstLineChars="200"/>
        <w:rPr>
          <w:rFonts w:eastAsia="仿宋_GB2312"/>
          <w:kern w:val="0"/>
          <w:sz w:val="32"/>
          <w:szCs w:val="32"/>
        </w:rPr>
      </w:pPr>
      <w:r>
        <w:rPr>
          <w:rFonts w:eastAsia="楷体_GB2312"/>
          <w:bCs/>
          <w:kern w:val="0"/>
          <w:sz w:val="32"/>
          <w:szCs w:val="32"/>
        </w:rPr>
        <w:t>耕地数量大质量差，主要分布在三大流域。</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耕地主要分布在黄河、西辽河、嫩江等地区。耕地质量总体较低，水土资源空间匹配错位，阴山、贺兰山山前丘陵和台地</w:t>
      </w:r>
      <w:r>
        <w:rPr>
          <w:rFonts w:hint="eastAsia" w:eastAsia="仿宋_GB2312"/>
          <w:kern w:val="0"/>
          <w:sz w:val="32"/>
          <w:szCs w:val="32"/>
        </w:rPr>
        <w:t>错配现象</w:t>
      </w:r>
      <w:r>
        <w:rPr>
          <w:rFonts w:eastAsia="仿宋_GB2312"/>
          <w:kern w:val="0"/>
          <w:sz w:val="32"/>
          <w:szCs w:val="32"/>
        </w:rPr>
        <w:t>尤为突出。作为我国粮食主产区和粮食规模外调省区之一，每年粮食总产量稳定在700亿斤以上。</w:t>
      </w:r>
    </w:p>
    <w:p w14:paraId="70EADFEF">
      <w:pPr>
        <w:spacing w:line="600" w:lineRule="exact"/>
        <w:ind w:firstLine="640" w:firstLineChars="200"/>
        <w:rPr>
          <w:rFonts w:eastAsia="仿宋_GB2312"/>
          <w:kern w:val="0"/>
          <w:sz w:val="32"/>
          <w:szCs w:val="32"/>
        </w:rPr>
      </w:pPr>
      <w:r>
        <w:rPr>
          <w:rFonts w:eastAsia="楷体_GB2312"/>
          <w:bCs/>
          <w:kern w:val="0"/>
          <w:sz w:val="32"/>
          <w:szCs w:val="32"/>
        </w:rPr>
        <w:t>水资源禀赋差，时空分布不均。</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涉及松花江区、辽河区、海河区、黄河区和西北诸河区5个水资源一级区</w:t>
      </w:r>
      <w:r>
        <w:rPr>
          <w:rFonts w:hint="eastAsia" w:eastAsia="仿宋_GB2312"/>
          <w:kern w:val="0"/>
          <w:sz w:val="32"/>
          <w:szCs w:val="32"/>
        </w:rPr>
        <w:t>，</w:t>
      </w:r>
      <w:r>
        <w:rPr>
          <w:rFonts w:eastAsia="仿宋_GB2312"/>
          <w:kern w:val="0"/>
          <w:sz w:val="32"/>
          <w:szCs w:val="32"/>
        </w:rPr>
        <w:t>多年平均年降水量282毫米，多年平均水资源总量为547亿立方米，约为全国平均水平的l/7。水资源主要分布在东部呼伦贝尔市，占</w:t>
      </w:r>
      <w:r>
        <w:rPr>
          <w:rFonts w:hint="eastAsia" w:eastAsia="仿宋_GB2312"/>
          <w:kern w:val="0"/>
          <w:sz w:val="32"/>
          <w:szCs w:val="32"/>
        </w:rPr>
        <w:t>内蒙古自治区</w:t>
      </w:r>
      <w:r>
        <w:rPr>
          <w:rFonts w:eastAsia="仿宋_GB2312"/>
          <w:kern w:val="0"/>
          <w:sz w:val="32"/>
          <w:szCs w:val="32"/>
        </w:rPr>
        <w:t>总量的58%</w:t>
      </w:r>
      <w:r>
        <w:rPr>
          <w:rFonts w:hint="eastAsia" w:eastAsia="仿宋_GB2312"/>
          <w:kern w:val="0"/>
          <w:sz w:val="32"/>
          <w:szCs w:val="32"/>
        </w:rPr>
        <w:t>。</w:t>
      </w:r>
      <w:r>
        <w:rPr>
          <w:rFonts w:eastAsia="仿宋_GB2312"/>
          <w:kern w:val="0"/>
          <w:sz w:val="32"/>
          <w:szCs w:val="32"/>
        </w:rPr>
        <w:t>天然河川径流量主要集中在6</w:t>
      </w:r>
      <w:r>
        <w:rPr>
          <w:rFonts w:hint="eastAsia" w:eastAsia="仿宋_GB2312"/>
          <w:kern w:val="0"/>
          <w:sz w:val="32"/>
          <w:szCs w:val="32"/>
        </w:rPr>
        <w:t>-</w:t>
      </w:r>
      <w:r>
        <w:rPr>
          <w:rFonts w:eastAsia="仿宋_GB2312"/>
          <w:kern w:val="0"/>
          <w:sz w:val="32"/>
          <w:szCs w:val="32"/>
        </w:rPr>
        <w:t>9月，约占全年的70%</w:t>
      </w:r>
      <w:r>
        <w:rPr>
          <w:rFonts w:hint="eastAsia" w:eastAsia="仿宋_GB2312"/>
          <w:kern w:val="0"/>
          <w:sz w:val="32"/>
          <w:szCs w:val="32"/>
        </w:rPr>
        <w:t>-</w:t>
      </w:r>
      <w:r>
        <w:rPr>
          <w:rFonts w:eastAsia="仿宋_GB2312"/>
          <w:kern w:val="0"/>
          <w:sz w:val="32"/>
          <w:szCs w:val="32"/>
        </w:rPr>
        <w:t>80%。</w:t>
      </w:r>
    </w:p>
    <w:p w14:paraId="0D089995">
      <w:pPr>
        <w:pStyle w:val="25"/>
        <w:spacing w:before="0" w:beforeAutospacing="0" w:after="0" w:afterAutospacing="0"/>
        <w:ind w:firstLine="640"/>
        <w:rPr>
          <w:rFonts w:eastAsia="仿宋_GB2312"/>
          <w:sz w:val="32"/>
          <w:szCs w:val="32"/>
        </w:rPr>
      </w:pPr>
      <w:r>
        <w:rPr>
          <w:rFonts w:eastAsia="楷体_GB2312"/>
          <w:bCs/>
          <w:sz w:val="32"/>
          <w:szCs w:val="32"/>
        </w:rPr>
        <w:t>生态地位重要，屏障作用突出。</w:t>
      </w:r>
      <w:r>
        <w:rPr>
          <w:rFonts w:eastAsia="仿宋_GB2312"/>
          <w:sz w:val="32"/>
          <w:szCs w:val="32"/>
        </w:rPr>
        <w:t>根据资源环境承载能力</w:t>
      </w:r>
      <w:r>
        <w:rPr>
          <w:rFonts w:hint="eastAsia" w:eastAsia="仿宋_GB2312"/>
          <w:sz w:val="32"/>
          <w:szCs w:val="32"/>
        </w:rPr>
        <w:t>和</w:t>
      </w:r>
      <w:r>
        <w:rPr>
          <w:rFonts w:eastAsia="仿宋_GB2312"/>
          <w:sz w:val="32"/>
          <w:szCs w:val="32"/>
        </w:rPr>
        <w:t>国土空间开发适宜性评价结果，内蒙古</w:t>
      </w:r>
      <w:r>
        <w:rPr>
          <w:rFonts w:hint="eastAsia" w:eastAsia="仿宋_GB2312"/>
          <w:sz w:val="32"/>
          <w:szCs w:val="32"/>
        </w:rPr>
        <w:t>自治区</w:t>
      </w:r>
      <w:r>
        <w:rPr>
          <w:rFonts w:eastAsia="仿宋_GB2312"/>
          <w:sz w:val="32"/>
          <w:szCs w:val="32"/>
        </w:rPr>
        <w:t>生态</w:t>
      </w:r>
      <w:r>
        <w:rPr>
          <w:rFonts w:hint="eastAsia" w:eastAsia="仿宋_GB2312"/>
          <w:sz w:val="32"/>
          <w:szCs w:val="32"/>
        </w:rPr>
        <w:t>功能</w:t>
      </w:r>
      <w:r>
        <w:rPr>
          <w:rFonts w:eastAsia="仿宋_GB2312"/>
          <w:sz w:val="32"/>
          <w:szCs w:val="32"/>
        </w:rPr>
        <w:t>极重要区和重要区面积大、涉及范围广。其中，大兴安岭林区是国家生态</w:t>
      </w:r>
      <w:r>
        <w:rPr>
          <w:rFonts w:hint="eastAsia" w:eastAsia="仿宋_GB2312"/>
          <w:sz w:val="32"/>
          <w:szCs w:val="32"/>
        </w:rPr>
        <w:t>安全屏障</w:t>
      </w:r>
      <w:r>
        <w:rPr>
          <w:rFonts w:eastAsia="仿宋_GB2312"/>
          <w:sz w:val="32"/>
          <w:szCs w:val="32"/>
        </w:rPr>
        <w:t>东北森林带的重要组成部分，呼伦贝尔、乌兰察布、科尔沁草原及浑善达克</w:t>
      </w:r>
      <w:r>
        <w:rPr>
          <w:rFonts w:hint="eastAsia" w:eastAsia="仿宋_GB2312"/>
          <w:sz w:val="32"/>
          <w:szCs w:val="32"/>
        </w:rPr>
        <w:t>沙地</w:t>
      </w:r>
      <w:r>
        <w:rPr>
          <w:rFonts w:eastAsia="仿宋_GB2312"/>
          <w:sz w:val="32"/>
          <w:szCs w:val="32"/>
        </w:rPr>
        <w:t>以西的北部区域是</w:t>
      </w:r>
      <w:r>
        <w:rPr>
          <w:rFonts w:hint="eastAsia" w:eastAsia="仿宋_GB2312"/>
          <w:sz w:val="32"/>
          <w:szCs w:val="32"/>
        </w:rPr>
        <w:t>国家生态安全屏障</w:t>
      </w:r>
      <w:r>
        <w:rPr>
          <w:rFonts w:eastAsia="仿宋_GB2312"/>
          <w:sz w:val="32"/>
          <w:szCs w:val="32"/>
        </w:rPr>
        <w:t>的主要组成部分。</w:t>
      </w:r>
    </w:p>
    <w:p w14:paraId="7E7A7E78">
      <w:pPr>
        <w:spacing w:line="600" w:lineRule="exact"/>
        <w:ind w:firstLine="640" w:firstLineChars="200"/>
        <w:rPr>
          <w:rFonts w:eastAsia="仿宋_GB2312"/>
          <w:kern w:val="0"/>
          <w:sz w:val="32"/>
          <w:szCs w:val="32"/>
        </w:rPr>
      </w:pPr>
      <w:r>
        <w:rPr>
          <w:rFonts w:eastAsia="楷体_GB2312"/>
          <w:bCs/>
          <w:kern w:val="0"/>
          <w:sz w:val="32"/>
          <w:szCs w:val="32"/>
        </w:rPr>
        <w:t>历史文化璀璨，民族风情独特。</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历史悠久，孕育着举世闻名的红山、大窑、萨拉乌苏、夏家店、扎赉诺尔等历史文化，是我国民族区域自治制度的发源地，赢得了模范自治区的崇高荣誉。几千年来，生活在这里的各个民族交往交流交融，共同创造了美好的家园和灿烂的草原文化，各民族像石榴</w:t>
      </w:r>
      <w:r>
        <w:rPr>
          <w:rFonts w:hint="eastAsia" w:eastAsia="仿宋_GB2312"/>
          <w:kern w:val="0"/>
          <w:sz w:val="32"/>
          <w:szCs w:val="32"/>
        </w:rPr>
        <w:t>籽</w:t>
      </w:r>
      <w:r>
        <w:rPr>
          <w:rFonts w:eastAsia="仿宋_GB2312"/>
          <w:kern w:val="0"/>
          <w:sz w:val="32"/>
          <w:szCs w:val="32"/>
        </w:rPr>
        <w:t>一样紧紧抱在一起，中华民族共同体意识不断铸牢。</w:t>
      </w:r>
    </w:p>
    <w:p w14:paraId="349740C1">
      <w:pPr>
        <w:pStyle w:val="3"/>
        <w:spacing w:before="156" w:beforeLines="50" w:after="156" w:afterLines="50" w:line="600" w:lineRule="exact"/>
        <w:rPr>
          <w:rFonts w:ascii="Times New Roman" w:hAnsi="Times New Roman"/>
          <w:b w:val="0"/>
          <w:bCs w:val="0"/>
        </w:rPr>
      </w:pPr>
      <w:bookmarkStart w:id="26" w:name="_Toc155861041"/>
      <w:bookmarkStart w:id="27" w:name="_Toc58138488"/>
      <w:bookmarkStart w:id="28" w:name="_Toc60479401"/>
      <w:bookmarkStart w:id="29" w:name="_Toc160715620"/>
      <w:bookmarkStart w:id="30" w:name="_Toc58653760"/>
      <w:r>
        <w:rPr>
          <w:rFonts w:ascii="Times New Roman" w:hAnsi="Times New Roman"/>
          <w:b w:val="0"/>
          <w:bCs w:val="0"/>
        </w:rPr>
        <w:t>第二节 国土空间保护开发现状及主要问题</w:t>
      </w:r>
      <w:bookmarkEnd w:id="26"/>
      <w:bookmarkEnd w:id="27"/>
      <w:bookmarkEnd w:id="28"/>
      <w:bookmarkEnd w:id="29"/>
      <w:bookmarkEnd w:id="30"/>
    </w:p>
    <w:p w14:paraId="1EF7FF93">
      <w:pPr>
        <w:spacing w:line="600" w:lineRule="exact"/>
        <w:ind w:firstLine="640" w:firstLineChars="200"/>
        <w:rPr>
          <w:rFonts w:eastAsia="仿宋_GB2312"/>
          <w:kern w:val="0"/>
          <w:sz w:val="32"/>
          <w:szCs w:val="32"/>
        </w:rPr>
      </w:pP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始终贯彻新发展理念，坚持底线思维，严格保护耕地，支撑了粮食</w:t>
      </w:r>
      <w:r>
        <w:rPr>
          <w:rFonts w:hint="eastAsia" w:eastAsia="仿宋_GB2312"/>
          <w:kern w:val="0"/>
          <w:sz w:val="32"/>
          <w:szCs w:val="32"/>
        </w:rPr>
        <w:t>生产“</w:t>
      </w:r>
      <w:r>
        <w:rPr>
          <w:rFonts w:eastAsia="仿宋_GB2312"/>
          <w:kern w:val="0"/>
          <w:sz w:val="32"/>
          <w:szCs w:val="32"/>
        </w:rPr>
        <w:t>十七连丰</w:t>
      </w:r>
      <w:r>
        <w:rPr>
          <w:rFonts w:hint="eastAsia" w:eastAsia="仿宋_GB2312"/>
          <w:kern w:val="0"/>
          <w:sz w:val="32"/>
          <w:szCs w:val="32"/>
        </w:rPr>
        <w:t>”</w:t>
      </w:r>
      <w:r>
        <w:rPr>
          <w:rFonts w:eastAsia="仿宋_GB2312"/>
          <w:kern w:val="0"/>
          <w:sz w:val="32"/>
          <w:szCs w:val="32"/>
        </w:rPr>
        <w:t>、肉类</w:t>
      </w:r>
      <w:r>
        <w:rPr>
          <w:rFonts w:hint="eastAsia" w:eastAsia="仿宋_GB2312"/>
          <w:kern w:val="0"/>
          <w:sz w:val="32"/>
          <w:szCs w:val="32"/>
        </w:rPr>
        <w:t>产量“</w:t>
      </w:r>
      <w:r>
        <w:rPr>
          <w:rFonts w:eastAsia="仿宋_GB2312"/>
          <w:kern w:val="0"/>
          <w:sz w:val="32"/>
          <w:szCs w:val="32"/>
        </w:rPr>
        <w:t>十六连稳</w:t>
      </w:r>
      <w:r>
        <w:rPr>
          <w:rFonts w:hint="eastAsia" w:eastAsia="仿宋_GB2312"/>
          <w:kern w:val="0"/>
          <w:sz w:val="32"/>
          <w:szCs w:val="32"/>
        </w:rPr>
        <w:t>”</w:t>
      </w:r>
      <w:r>
        <w:rPr>
          <w:rFonts w:eastAsia="仿宋_GB2312"/>
          <w:kern w:val="0"/>
          <w:sz w:val="32"/>
          <w:szCs w:val="32"/>
        </w:rPr>
        <w:t>，协同推进降碳、减污、扩绿、增长，主体功能区布局基本形成，生态环境明显好转，空间集聚特征明显增强，资源供给保障能力增强，国家重要能源和战略资源基地尽显担当，我国向北开放重要桥头堡活力得以彰显，综合经济实力显著增强。但同时国土空间保护开发也面临着资源环境约束、空间保障不足等亟待解决的问题。</w:t>
      </w:r>
    </w:p>
    <w:p w14:paraId="1E9238B0">
      <w:pPr>
        <w:spacing w:line="600" w:lineRule="exact"/>
        <w:ind w:firstLine="640" w:firstLineChars="200"/>
        <w:rPr>
          <w:rFonts w:eastAsia="仿宋"/>
          <w:sz w:val="32"/>
          <w:szCs w:val="32"/>
          <w:highlight w:val="none"/>
        </w:rPr>
      </w:pPr>
      <w:r>
        <w:rPr>
          <w:rFonts w:eastAsia="楷体_GB2312"/>
          <w:bCs/>
          <w:kern w:val="0"/>
          <w:sz w:val="32"/>
          <w:szCs w:val="32"/>
        </w:rPr>
        <w:t>整体生态环境依然脆弱，局部生态服务功能仍需提高。</w:t>
      </w:r>
      <w:r>
        <w:rPr>
          <w:rFonts w:eastAsia="仿宋_GB2312"/>
          <w:kern w:val="0"/>
          <w:sz w:val="32"/>
          <w:szCs w:val="32"/>
        </w:rPr>
        <w:t>本底条件依然脆弱，资源富集区与生态脆弱区多有重叠，水土资源空间匹配度较差，历史遗留生态欠账加之气候因素的叠加影响，导致局部生态服务功能不高、生态多样性降低，生态脆弱区域和荒漠化土地面积占比较</w:t>
      </w:r>
      <w:r>
        <w:rPr>
          <w:rFonts w:eastAsia="仿宋_GB2312"/>
          <w:kern w:val="0"/>
          <w:sz w:val="32"/>
          <w:szCs w:val="32"/>
          <w:highlight w:val="none"/>
        </w:rPr>
        <w:t>大</w:t>
      </w:r>
      <w:r>
        <w:rPr>
          <w:rFonts w:hint="eastAsia" w:eastAsia="仿宋_GB2312"/>
          <w:kern w:val="0"/>
          <w:sz w:val="32"/>
          <w:szCs w:val="32"/>
          <w:highlight w:val="none"/>
        </w:rPr>
        <w:t>，</w:t>
      </w:r>
      <w:r>
        <w:rPr>
          <w:rFonts w:eastAsia="仿宋_GB2312"/>
          <w:kern w:val="0"/>
          <w:sz w:val="32"/>
          <w:szCs w:val="32"/>
          <w:highlight w:val="none"/>
        </w:rPr>
        <w:t>大兴安岭周边地区林缘后退</w:t>
      </w:r>
      <w:r>
        <w:rPr>
          <w:rFonts w:hint="eastAsia" w:eastAsia="仿宋_GB2312"/>
          <w:kern w:val="0"/>
          <w:sz w:val="32"/>
          <w:szCs w:val="32"/>
          <w:highlight w:val="none"/>
        </w:rPr>
        <w:t>。</w:t>
      </w:r>
      <w:r>
        <w:rPr>
          <w:rFonts w:eastAsia="仿宋_GB2312"/>
          <w:kern w:val="0"/>
          <w:sz w:val="32"/>
          <w:szCs w:val="32"/>
          <w:highlight w:val="none"/>
        </w:rPr>
        <w:t>草原</w:t>
      </w:r>
      <w:r>
        <w:rPr>
          <w:rFonts w:hint="eastAsia" w:eastAsia="仿宋_GB2312"/>
          <w:kern w:val="0"/>
          <w:sz w:val="32"/>
          <w:szCs w:val="32"/>
          <w:highlight w:val="none"/>
        </w:rPr>
        <w:t>过度利用</w:t>
      </w:r>
      <w:r>
        <w:rPr>
          <w:rFonts w:eastAsia="仿宋_GB2312"/>
          <w:kern w:val="0"/>
          <w:sz w:val="32"/>
          <w:szCs w:val="32"/>
          <w:highlight w:val="none"/>
        </w:rPr>
        <w:t>，叠加自然灾害等多重因素，局部地区出现不同程度的生态功能退化。</w:t>
      </w:r>
    </w:p>
    <w:p w14:paraId="224DE3F1">
      <w:pPr>
        <w:spacing w:line="600" w:lineRule="exact"/>
        <w:ind w:firstLine="640" w:firstLineChars="200"/>
        <w:rPr>
          <w:rFonts w:eastAsia="仿宋_GB2312"/>
          <w:kern w:val="0"/>
          <w:sz w:val="32"/>
          <w:szCs w:val="32"/>
        </w:rPr>
      </w:pPr>
      <w:r>
        <w:rPr>
          <w:rFonts w:eastAsia="楷体_GB2312"/>
          <w:bCs/>
          <w:kern w:val="0"/>
          <w:sz w:val="32"/>
          <w:szCs w:val="32"/>
          <w:highlight w:val="none"/>
        </w:rPr>
        <w:t>农牧资源利用不够合理，空间布局尚待优化。</w:t>
      </w:r>
      <w:r>
        <w:rPr>
          <w:rFonts w:eastAsia="仿宋_GB2312"/>
          <w:kern w:val="0"/>
          <w:sz w:val="32"/>
          <w:szCs w:val="32"/>
          <w:highlight w:val="none"/>
        </w:rPr>
        <w:t>大兴安岭、阴山山脉、贺兰山山脉沿麓农牧交错带等区域，种植业与畜牧业持续争地，耕作线不</w:t>
      </w:r>
      <w:r>
        <w:rPr>
          <w:rFonts w:eastAsia="仿宋_GB2312"/>
          <w:kern w:val="0"/>
          <w:sz w:val="32"/>
          <w:szCs w:val="32"/>
        </w:rPr>
        <w:t>断北移。传统重开发</w:t>
      </w:r>
      <w:r>
        <w:rPr>
          <w:rFonts w:hint="eastAsia" w:eastAsia="仿宋_GB2312"/>
          <w:kern w:val="0"/>
          <w:sz w:val="32"/>
          <w:szCs w:val="32"/>
        </w:rPr>
        <w:t>、</w:t>
      </w:r>
      <w:r>
        <w:rPr>
          <w:rFonts w:eastAsia="仿宋_GB2312"/>
          <w:kern w:val="0"/>
          <w:sz w:val="32"/>
          <w:szCs w:val="32"/>
        </w:rPr>
        <w:t>轻保护</w:t>
      </w:r>
      <w:r>
        <w:rPr>
          <w:rFonts w:hint="eastAsia" w:eastAsia="仿宋_GB2312"/>
          <w:kern w:val="0"/>
          <w:sz w:val="32"/>
          <w:szCs w:val="32"/>
        </w:rPr>
        <w:t>、</w:t>
      </w:r>
      <w:r>
        <w:rPr>
          <w:rFonts w:eastAsia="仿宋_GB2312"/>
          <w:kern w:val="0"/>
          <w:sz w:val="32"/>
          <w:szCs w:val="32"/>
        </w:rPr>
        <w:t>重经济</w:t>
      </w:r>
      <w:r>
        <w:rPr>
          <w:rFonts w:hint="eastAsia" w:eastAsia="仿宋_GB2312"/>
          <w:kern w:val="0"/>
          <w:sz w:val="32"/>
          <w:szCs w:val="32"/>
        </w:rPr>
        <w:t>、</w:t>
      </w:r>
      <w:r>
        <w:rPr>
          <w:rFonts w:eastAsia="仿宋_GB2312"/>
          <w:kern w:val="0"/>
          <w:sz w:val="32"/>
          <w:szCs w:val="32"/>
        </w:rPr>
        <w:t>轻生态的生产方式，加剧</w:t>
      </w:r>
      <w:r>
        <w:rPr>
          <w:rFonts w:hint="eastAsia" w:eastAsia="仿宋_GB2312"/>
          <w:kern w:val="0"/>
          <w:sz w:val="32"/>
          <w:szCs w:val="32"/>
        </w:rPr>
        <w:t>水土资源</w:t>
      </w:r>
      <w:r>
        <w:rPr>
          <w:rFonts w:eastAsia="仿宋_GB2312"/>
          <w:kern w:val="0"/>
          <w:sz w:val="32"/>
          <w:szCs w:val="32"/>
        </w:rPr>
        <w:t>不平衡，空间布局有待优化。</w:t>
      </w:r>
    </w:p>
    <w:p w14:paraId="0F36AF56">
      <w:pPr>
        <w:spacing w:line="600" w:lineRule="exact"/>
        <w:ind w:firstLine="640" w:firstLineChars="200"/>
        <w:rPr>
          <w:rFonts w:eastAsia="仿宋_GB2312"/>
          <w:kern w:val="0"/>
          <w:sz w:val="32"/>
          <w:szCs w:val="32"/>
        </w:rPr>
      </w:pPr>
      <w:r>
        <w:rPr>
          <w:rFonts w:eastAsia="楷体_GB2312"/>
          <w:bCs/>
          <w:kern w:val="0"/>
          <w:sz w:val="32"/>
          <w:szCs w:val="32"/>
        </w:rPr>
        <w:t>城乡用地总体粗放，</w:t>
      </w:r>
      <w:r>
        <w:rPr>
          <w:rFonts w:hint="eastAsia" w:eastAsia="楷体_GB2312"/>
          <w:bCs/>
          <w:kern w:val="0"/>
          <w:sz w:val="32"/>
          <w:szCs w:val="32"/>
        </w:rPr>
        <w:t>节约</w:t>
      </w:r>
      <w:r>
        <w:rPr>
          <w:rFonts w:eastAsia="楷体_GB2312"/>
          <w:bCs/>
          <w:kern w:val="0"/>
          <w:sz w:val="32"/>
          <w:szCs w:val="32"/>
        </w:rPr>
        <w:t>集约</w:t>
      </w:r>
      <w:r>
        <w:rPr>
          <w:rFonts w:hint="eastAsia" w:eastAsia="楷体_GB2312"/>
          <w:bCs/>
          <w:kern w:val="0"/>
          <w:sz w:val="32"/>
          <w:szCs w:val="32"/>
        </w:rPr>
        <w:t>利用水平</w:t>
      </w:r>
      <w:r>
        <w:rPr>
          <w:rFonts w:eastAsia="楷体_GB2312"/>
          <w:bCs/>
          <w:kern w:val="0"/>
          <w:sz w:val="32"/>
          <w:szCs w:val="32"/>
        </w:rPr>
        <w:t>亟待提升。</w:t>
      </w:r>
      <w:r>
        <w:rPr>
          <w:rFonts w:eastAsia="仿宋_GB2312"/>
          <w:kern w:val="0"/>
          <w:sz w:val="32"/>
          <w:szCs w:val="32"/>
        </w:rPr>
        <w:t>城乡建设仍以外延扩张的发展模式为主，建设用地利用粗放、布局分散、效率较低，大尺度、单一功能区划问题突出。开发区土地利用强度和建设用地效益不高，低于全国平均水平。农村牧区呈现人口减少、建设用地增加的态势。</w:t>
      </w:r>
    </w:p>
    <w:p w14:paraId="0D5E0D04">
      <w:pPr>
        <w:spacing w:line="600" w:lineRule="exact"/>
        <w:ind w:firstLine="640" w:firstLineChars="200"/>
        <w:rPr>
          <w:rFonts w:eastAsia="仿宋_GB2312"/>
          <w:kern w:val="0"/>
          <w:sz w:val="32"/>
          <w:szCs w:val="32"/>
        </w:rPr>
      </w:pPr>
      <w:r>
        <w:rPr>
          <w:rFonts w:eastAsia="楷体_GB2312"/>
          <w:bCs/>
          <w:kern w:val="0"/>
          <w:sz w:val="32"/>
          <w:szCs w:val="32"/>
        </w:rPr>
        <w:t>国土空间品质不高，美丽国土建设有待加强。</w:t>
      </w:r>
      <w:r>
        <w:rPr>
          <w:rFonts w:eastAsia="仿宋_GB2312"/>
          <w:kern w:val="0"/>
          <w:sz w:val="32"/>
          <w:szCs w:val="32"/>
        </w:rPr>
        <w:t>城市化地区交通运输用地、城镇公共服务用地和绿地等占比偏低，学校、医院等公共服务设施分布不够均衡，长距离通学</w:t>
      </w:r>
      <w:r>
        <w:rPr>
          <w:rFonts w:hint="eastAsia" w:eastAsia="仿宋_GB2312"/>
          <w:kern w:val="0"/>
          <w:sz w:val="32"/>
          <w:szCs w:val="32"/>
        </w:rPr>
        <w:t>、</w:t>
      </w:r>
      <w:r>
        <w:rPr>
          <w:rFonts w:eastAsia="仿宋_GB2312"/>
          <w:kern w:val="0"/>
          <w:sz w:val="32"/>
          <w:szCs w:val="32"/>
        </w:rPr>
        <w:t>就医加剧交通拥堵，农村牧区基础设施与公共服务设施配套不健全，人居环境有待改善。</w:t>
      </w:r>
    </w:p>
    <w:p w14:paraId="00C14C46">
      <w:pPr>
        <w:pStyle w:val="3"/>
        <w:spacing w:before="156" w:beforeLines="50" w:after="156" w:afterLines="50" w:line="600" w:lineRule="exact"/>
        <w:rPr>
          <w:rFonts w:ascii="Times New Roman" w:hAnsi="Times New Roman"/>
          <w:b w:val="0"/>
          <w:bCs w:val="0"/>
        </w:rPr>
      </w:pPr>
      <w:bookmarkStart w:id="31" w:name="_Toc160715621"/>
      <w:bookmarkStart w:id="32" w:name="_Toc58653761"/>
      <w:bookmarkStart w:id="33" w:name="_Toc58138489"/>
      <w:bookmarkStart w:id="34" w:name="_Toc60479402"/>
      <w:bookmarkStart w:id="35" w:name="_Toc155861042"/>
      <w:r>
        <w:rPr>
          <w:rFonts w:ascii="Times New Roman" w:hAnsi="Times New Roman"/>
          <w:b w:val="0"/>
          <w:bCs w:val="0"/>
        </w:rPr>
        <w:t>第三节 国土空间保护开发面临机遇和挑战</w:t>
      </w:r>
      <w:bookmarkEnd w:id="31"/>
      <w:bookmarkEnd w:id="32"/>
      <w:bookmarkEnd w:id="33"/>
      <w:bookmarkEnd w:id="34"/>
      <w:bookmarkEnd w:id="35"/>
    </w:p>
    <w:p w14:paraId="19493A38">
      <w:pPr>
        <w:spacing w:line="600" w:lineRule="exact"/>
        <w:ind w:firstLine="640" w:firstLineChars="200"/>
        <w:rPr>
          <w:rFonts w:eastAsia="仿宋_GB2312"/>
          <w:kern w:val="0"/>
          <w:sz w:val="32"/>
          <w:szCs w:val="32"/>
        </w:rPr>
      </w:pPr>
      <w:r>
        <w:rPr>
          <w:rFonts w:hint="eastAsia" w:eastAsia="仿宋_GB2312"/>
          <w:kern w:val="0"/>
          <w:sz w:val="32"/>
          <w:szCs w:val="32"/>
        </w:rPr>
        <w:t>目前，</w:t>
      </w:r>
      <w:r>
        <w:rPr>
          <w:rFonts w:eastAsia="仿宋_GB2312"/>
          <w:kern w:val="0"/>
          <w:sz w:val="32"/>
          <w:szCs w:val="32"/>
        </w:rPr>
        <w:t>我国已</w:t>
      </w:r>
      <w:r>
        <w:rPr>
          <w:rFonts w:hint="eastAsia" w:eastAsia="仿宋_GB2312"/>
          <w:kern w:val="0"/>
          <w:sz w:val="32"/>
          <w:szCs w:val="32"/>
        </w:rPr>
        <w:t>进入</w:t>
      </w:r>
      <w:r>
        <w:rPr>
          <w:rFonts w:eastAsia="仿宋_GB2312"/>
          <w:kern w:val="0"/>
          <w:sz w:val="32"/>
          <w:szCs w:val="32"/>
        </w:rPr>
        <w:t>高质量发展阶段，在贯彻落实新发展理念，构建以国内大循环为主体、国内国际双循环相互促进的新发展格局的时代要求下，随着黄河流域生态保护和高质量发展、西部大开发和东北全面振兴等国家战略深入实施，</w:t>
      </w:r>
      <w:r>
        <w:rPr>
          <w:rFonts w:hint="eastAsia" w:eastAsia="仿宋_GB2312"/>
          <w:kern w:val="0"/>
          <w:sz w:val="32"/>
          <w:szCs w:val="32"/>
        </w:rPr>
        <w:t>为</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积极探索生态优先、绿色发展为导向的高质量发展新路子，融入共建</w:t>
      </w:r>
      <w:r>
        <w:rPr>
          <w:rFonts w:hint="eastAsia" w:eastAsia="仿宋_GB2312"/>
          <w:kern w:val="0"/>
          <w:sz w:val="32"/>
          <w:szCs w:val="32"/>
        </w:rPr>
        <w:t>“</w:t>
      </w:r>
      <w:r>
        <w:rPr>
          <w:rFonts w:eastAsia="仿宋_GB2312"/>
          <w:kern w:val="0"/>
          <w:sz w:val="32"/>
          <w:szCs w:val="32"/>
        </w:rPr>
        <w:t>一带一路</w:t>
      </w:r>
      <w:r>
        <w:rPr>
          <w:rFonts w:hint="eastAsia" w:eastAsia="仿宋_GB2312"/>
          <w:kern w:val="0"/>
          <w:sz w:val="32"/>
          <w:szCs w:val="32"/>
        </w:rPr>
        <w:t>”</w:t>
      </w:r>
      <w:r>
        <w:rPr>
          <w:rFonts w:eastAsia="仿宋_GB2312"/>
          <w:kern w:val="0"/>
          <w:sz w:val="32"/>
          <w:szCs w:val="32"/>
        </w:rPr>
        <w:t>、构建高品质国土空间格局，提升空间保障能力，</w:t>
      </w:r>
      <w:r>
        <w:rPr>
          <w:rFonts w:hint="eastAsia" w:eastAsia="仿宋_GB2312"/>
          <w:kern w:val="0"/>
          <w:sz w:val="32"/>
          <w:szCs w:val="32"/>
        </w:rPr>
        <w:t>提高</w:t>
      </w:r>
      <w:r>
        <w:rPr>
          <w:rFonts w:eastAsia="仿宋_GB2312"/>
          <w:kern w:val="0"/>
          <w:sz w:val="32"/>
          <w:szCs w:val="32"/>
        </w:rPr>
        <w:t>国土空间治理体系和治理能力现代化水平带来多重叠加机遇。</w:t>
      </w:r>
    </w:p>
    <w:p w14:paraId="39D22390">
      <w:pPr>
        <w:spacing w:line="600" w:lineRule="exact"/>
        <w:ind w:firstLine="640" w:firstLineChars="200"/>
        <w:rPr>
          <w:rFonts w:eastAsia="仿宋_GB2312"/>
          <w:kern w:val="0"/>
          <w:sz w:val="32"/>
          <w:szCs w:val="32"/>
        </w:rPr>
      </w:pPr>
      <w:r>
        <w:rPr>
          <w:rFonts w:eastAsia="楷体_GB2312"/>
          <w:bCs/>
          <w:kern w:val="0"/>
          <w:sz w:val="32"/>
          <w:szCs w:val="32"/>
        </w:rPr>
        <w:t>资源环境约束日益趋紧。</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资源环境地域分异明显，东部地区水土条件较好，自然生态系统相对稳定，中西部地区产业相对较密集，资源消耗量高，水资源不足，生态脆弱，资源环境承载能力不足甚至超载。在新型工业化、信息化、城镇化和农牧业现代化快速发展的同时，对土地、水、矿产等自然资源的刚性需求仍在持续</w:t>
      </w:r>
      <w:r>
        <w:rPr>
          <w:rFonts w:hint="eastAsia" w:eastAsia="仿宋_GB2312"/>
          <w:kern w:val="0"/>
          <w:sz w:val="32"/>
          <w:szCs w:val="32"/>
        </w:rPr>
        <w:t>。</w:t>
      </w:r>
      <w:r>
        <w:rPr>
          <w:rFonts w:eastAsia="仿宋_GB2312"/>
          <w:kern w:val="0"/>
          <w:sz w:val="32"/>
          <w:szCs w:val="32"/>
        </w:rPr>
        <w:t>实现国家碳达峰碳中和目标，在控制碳排放、增加碳汇、提高生态系统固碳能力等方面任务艰巨。</w:t>
      </w:r>
    </w:p>
    <w:p w14:paraId="7C723D2A">
      <w:pPr>
        <w:spacing w:line="600" w:lineRule="exact"/>
        <w:ind w:firstLine="640" w:firstLineChars="200"/>
        <w:rPr>
          <w:rFonts w:eastAsia="仿宋_GB2312"/>
          <w:kern w:val="0"/>
          <w:sz w:val="32"/>
          <w:szCs w:val="32"/>
        </w:rPr>
      </w:pPr>
      <w:r>
        <w:rPr>
          <w:rFonts w:eastAsia="楷体_GB2312"/>
          <w:bCs/>
          <w:kern w:val="0"/>
          <w:sz w:val="32"/>
          <w:szCs w:val="32"/>
        </w:rPr>
        <w:t>国土空间开发利用方式亟需转变。</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国土空间开发利用仍处在要素驱动和规模扩张阶段，传统优势产业重型化特征明显，新产业、新技术、新产品项目用地节约集约和优化利用程度不高，国土空间多功能复合利用、综合利用不足。推动高质量发展，必须加快转变自然资源开发利用方式，提升国土空间品质和利用效率，推动形成绿色发展方式和生活方式，促进经济社会更高质量、更有效率、更加公平、更可持续。</w:t>
      </w:r>
    </w:p>
    <w:p w14:paraId="3D9093A6">
      <w:pPr>
        <w:spacing w:line="600" w:lineRule="exact"/>
        <w:ind w:firstLine="640" w:firstLineChars="200"/>
        <w:rPr>
          <w:rFonts w:eastAsia="仿宋_GB2312"/>
          <w:kern w:val="0"/>
          <w:sz w:val="32"/>
          <w:szCs w:val="32"/>
        </w:rPr>
      </w:pPr>
      <w:r>
        <w:rPr>
          <w:rFonts w:eastAsia="楷体_GB2312"/>
          <w:bCs/>
          <w:kern w:val="0"/>
          <w:sz w:val="32"/>
          <w:szCs w:val="32"/>
        </w:rPr>
        <w:t>生态保护修复任务艰巨。</w:t>
      </w: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是我国生态脆弱的主要区域，生态系统抗干扰能力不强，自我修复能力下降，森林、草原植被自然恢复困难。生态建设面临治理范围广、面积大、立地条件恶劣等诸多问题，生态修复</w:t>
      </w:r>
      <w:r>
        <w:rPr>
          <w:rFonts w:hint="eastAsia" w:eastAsia="仿宋_GB2312"/>
          <w:kern w:val="0"/>
          <w:sz w:val="32"/>
          <w:szCs w:val="32"/>
        </w:rPr>
        <w:t>区</w:t>
      </w:r>
      <w:r>
        <w:rPr>
          <w:rFonts w:eastAsia="仿宋_GB2312"/>
          <w:kern w:val="0"/>
          <w:sz w:val="32"/>
          <w:szCs w:val="32"/>
        </w:rPr>
        <w:t>涉及人口众多，多与农牧地区高度重叠，生态系统十分脆弱，保护和修复难度大、战线长。历史遗留矿山地质环境治理资金需求较大，长期可持续发展面临严峻挑战。</w:t>
      </w:r>
    </w:p>
    <w:p w14:paraId="5D58C03A">
      <w:pPr>
        <w:spacing w:line="600" w:lineRule="exact"/>
        <w:ind w:firstLine="624" w:firstLineChars="200"/>
        <w:rPr>
          <w:rFonts w:eastAsia="仿宋_GB2312"/>
          <w:spacing w:val="-4"/>
          <w:kern w:val="0"/>
          <w:sz w:val="32"/>
          <w:szCs w:val="32"/>
        </w:rPr>
      </w:pPr>
      <w:r>
        <w:rPr>
          <w:rFonts w:eastAsia="楷体_GB2312"/>
          <w:bCs/>
          <w:spacing w:val="-4"/>
          <w:kern w:val="0"/>
          <w:sz w:val="32"/>
          <w:szCs w:val="32"/>
        </w:rPr>
        <w:t>发展不平衡问题仍然突出。</w:t>
      </w:r>
      <w:r>
        <w:rPr>
          <w:rFonts w:eastAsia="仿宋_GB2312"/>
          <w:spacing w:val="-4"/>
          <w:kern w:val="0"/>
          <w:sz w:val="32"/>
          <w:szCs w:val="32"/>
        </w:rPr>
        <w:t>我国已全面</w:t>
      </w:r>
      <w:r>
        <w:rPr>
          <w:rFonts w:hint="eastAsia" w:eastAsia="仿宋_GB2312"/>
          <w:spacing w:val="-4"/>
          <w:kern w:val="0"/>
          <w:sz w:val="32"/>
          <w:szCs w:val="32"/>
        </w:rPr>
        <w:t>建成</w:t>
      </w:r>
      <w:r>
        <w:rPr>
          <w:rFonts w:eastAsia="仿宋_GB2312"/>
          <w:spacing w:val="-4"/>
          <w:kern w:val="0"/>
          <w:sz w:val="32"/>
          <w:szCs w:val="32"/>
        </w:rPr>
        <w:t>小康社会</w:t>
      </w:r>
      <w:r>
        <w:rPr>
          <w:rFonts w:hint="eastAsia" w:eastAsia="仿宋_GB2312"/>
          <w:spacing w:val="-4"/>
          <w:kern w:val="0"/>
          <w:sz w:val="32"/>
          <w:szCs w:val="32"/>
        </w:rPr>
        <w:t>，开启了</w:t>
      </w:r>
      <w:r>
        <w:rPr>
          <w:rFonts w:eastAsia="仿宋_GB2312"/>
          <w:spacing w:val="-4"/>
          <w:kern w:val="0"/>
          <w:sz w:val="32"/>
          <w:szCs w:val="32"/>
        </w:rPr>
        <w:t>全面建设社会主义现代化国家</w:t>
      </w:r>
      <w:r>
        <w:rPr>
          <w:rFonts w:hint="eastAsia" w:eastAsia="仿宋_GB2312"/>
          <w:spacing w:val="-4"/>
          <w:kern w:val="0"/>
          <w:sz w:val="32"/>
          <w:szCs w:val="32"/>
        </w:rPr>
        <w:t>新征程</w:t>
      </w:r>
      <w:r>
        <w:rPr>
          <w:rFonts w:eastAsia="仿宋_GB2312"/>
          <w:spacing w:val="-4"/>
          <w:kern w:val="0"/>
          <w:sz w:val="32"/>
          <w:szCs w:val="32"/>
        </w:rPr>
        <w:t>，</w:t>
      </w:r>
      <w:r>
        <w:rPr>
          <w:rFonts w:hint="eastAsia" w:eastAsia="仿宋_GB2312"/>
          <w:spacing w:val="-4"/>
          <w:kern w:val="0"/>
          <w:sz w:val="32"/>
          <w:szCs w:val="32"/>
        </w:rPr>
        <w:t>内蒙古自治区</w:t>
      </w:r>
      <w:r>
        <w:rPr>
          <w:rFonts w:eastAsia="仿宋_GB2312"/>
          <w:spacing w:val="-4"/>
          <w:kern w:val="0"/>
          <w:sz w:val="32"/>
          <w:szCs w:val="32"/>
        </w:rPr>
        <w:t>城乡之间、区域之间、人与自然之间不平衡不协调的矛盾仍然存在，亟待补短板、强弱项、固底板、扬优势。</w:t>
      </w:r>
    </w:p>
    <w:p w14:paraId="490F292E">
      <w:pPr>
        <w:spacing w:line="600" w:lineRule="exact"/>
        <w:ind w:firstLine="640" w:firstLineChars="200"/>
        <w:rPr>
          <w:rFonts w:eastAsia="仿宋_GB2312"/>
          <w:kern w:val="0"/>
          <w:sz w:val="32"/>
          <w:szCs w:val="32"/>
        </w:rPr>
      </w:pPr>
      <w:r>
        <w:rPr>
          <w:rFonts w:eastAsia="楷体_GB2312"/>
          <w:bCs/>
          <w:kern w:val="0"/>
          <w:sz w:val="32"/>
          <w:szCs w:val="32"/>
        </w:rPr>
        <w:t>自然灾害形势依然严峻。</w:t>
      </w:r>
      <w:r>
        <w:rPr>
          <w:rFonts w:eastAsia="仿宋_GB2312"/>
          <w:kern w:val="0"/>
          <w:sz w:val="32"/>
          <w:szCs w:val="32"/>
        </w:rPr>
        <w:t>内蒙古自治区地处干旱与半干旱地区，是气候变化反应的敏感区域。气候变暖导致生态系统稳定性降低，蒸发量增大，局部地区降水减少，干旱区范围扩大，草原枯草期延长，农作物单产不稳定，牧草物候期提前，林地地温升高，水分亏缺，易引发沙尘暴、雪灾、大风等极端灾害，对经济社会可持续发展和人民生命财产安全造成威胁，城乡安全韧性急需加强。</w:t>
      </w:r>
    </w:p>
    <w:p w14:paraId="666CDE08">
      <w:pPr>
        <w:spacing w:line="600" w:lineRule="exact"/>
        <w:ind w:firstLine="640" w:firstLineChars="200"/>
        <w:rPr>
          <w:rFonts w:eastAsia="方正小标宋_GBK"/>
          <w:sz w:val="40"/>
          <w:szCs w:val="32"/>
        </w:rPr>
      </w:pPr>
      <w:r>
        <w:rPr>
          <w:rFonts w:eastAsia="楷体_GB2312"/>
          <w:bCs/>
          <w:kern w:val="0"/>
          <w:sz w:val="32"/>
          <w:szCs w:val="32"/>
        </w:rPr>
        <w:t>公共安全形势日趋复杂。</w:t>
      </w:r>
      <w:r>
        <w:rPr>
          <w:rFonts w:eastAsia="仿宋_GB2312"/>
          <w:kern w:val="0"/>
          <w:sz w:val="32"/>
          <w:szCs w:val="32"/>
        </w:rPr>
        <w:t>内蒙古自治区公共安全形势虽然总体平稳、趋向好转，但影响城市公共安全和城乡社会稳定的因素依然存在，安全风险防控</w:t>
      </w:r>
      <w:r>
        <w:rPr>
          <w:rFonts w:hint="eastAsia" w:eastAsia="仿宋_GB2312"/>
          <w:kern w:val="0"/>
          <w:sz w:val="32"/>
          <w:szCs w:val="32"/>
        </w:rPr>
        <w:t>力度还需进一步加大</w:t>
      </w:r>
      <w:r>
        <w:rPr>
          <w:rFonts w:eastAsia="仿宋_GB2312"/>
          <w:kern w:val="0"/>
          <w:sz w:val="32"/>
          <w:szCs w:val="32"/>
        </w:rPr>
        <w:t>。</w:t>
      </w:r>
    </w:p>
    <w:p w14:paraId="4EF315EC">
      <w:pPr>
        <w:pStyle w:val="2"/>
        <w:keepNext w:val="0"/>
        <w:keepLines w:val="0"/>
        <w:spacing w:before="312" w:beforeLines="100" w:after="312" w:afterLines="100" w:line="240" w:lineRule="auto"/>
        <w:jc w:val="center"/>
        <w:rPr>
          <w:rFonts w:hint="eastAsia" w:ascii="方正小标宋简体" w:eastAsia="方正小标宋简体"/>
          <w:b w:val="0"/>
          <w:bCs w:val="0"/>
          <w:sz w:val="36"/>
          <w:szCs w:val="32"/>
        </w:rPr>
      </w:pPr>
      <w:bookmarkStart w:id="36" w:name="_Toc155861043"/>
      <w:bookmarkStart w:id="37" w:name="_Toc160715622"/>
      <w:r>
        <w:rPr>
          <w:rFonts w:eastAsia="方正小标宋_GBK"/>
          <w:b w:val="0"/>
          <w:bCs w:val="0"/>
          <w:sz w:val="36"/>
          <w:szCs w:val="32"/>
        </w:rPr>
        <w:br w:type="page"/>
      </w:r>
      <w:r>
        <w:rPr>
          <w:rFonts w:hint="eastAsia" w:ascii="方正小标宋简体" w:eastAsia="方正小标宋简体"/>
          <w:b w:val="0"/>
          <w:bCs w:val="0"/>
          <w:sz w:val="36"/>
          <w:szCs w:val="32"/>
        </w:rPr>
        <w:t>第二章 国土空间保护开发目标与战略</w:t>
      </w:r>
      <w:bookmarkEnd w:id="36"/>
      <w:bookmarkEnd w:id="37"/>
    </w:p>
    <w:p w14:paraId="145788A4">
      <w:pPr>
        <w:overflowPunct w:val="0"/>
        <w:topLinePunct/>
        <w:adjustRightInd w:val="0"/>
        <w:snapToGrid w:val="0"/>
        <w:spacing w:line="600" w:lineRule="exact"/>
        <w:ind w:firstLine="640" w:firstLineChars="200"/>
        <w:textAlignment w:val="center"/>
        <w:rPr>
          <w:rFonts w:eastAsia="仿宋_GB2312"/>
          <w:kern w:val="0"/>
          <w:sz w:val="32"/>
          <w:szCs w:val="32"/>
        </w:rPr>
      </w:pPr>
      <w:r>
        <w:rPr>
          <w:rFonts w:eastAsia="仿宋_GB2312"/>
          <w:kern w:val="0"/>
          <w:sz w:val="32"/>
          <w:szCs w:val="32"/>
        </w:rPr>
        <w:t>面向全面建设社会主义现代化国家新征程，立足资源环境承载能力和国土空间开发适宜性，发挥区域比较优势，统筹推进自然资源综合利用、城乡统筹均衡发展、生态环境保护、基础设施建设，加快形成主体功能明显、优势互补、高质量发展的国土空间保护开发新格局，提升国土空间治理现代化水平，建设好祖国北疆亮丽风景线。</w:t>
      </w:r>
    </w:p>
    <w:p w14:paraId="114532EB">
      <w:pPr>
        <w:pStyle w:val="3"/>
        <w:spacing w:before="156" w:beforeLines="50" w:after="156" w:afterLines="50" w:line="600" w:lineRule="exact"/>
        <w:rPr>
          <w:rFonts w:ascii="Times New Roman" w:hAnsi="Times New Roman"/>
          <w:b w:val="0"/>
          <w:bCs w:val="0"/>
        </w:rPr>
      </w:pPr>
      <w:bookmarkStart w:id="38" w:name="_Toc155861044"/>
      <w:bookmarkStart w:id="39" w:name="_Toc58050342"/>
      <w:bookmarkStart w:id="40" w:name="_Toc160715623"/>
      <w:bookmarkStart w:id="41" w:name="_Toc58266340"/>
      <w:bookmarkStart w:id="42" w:name="_Toc41137889"/>
      <w:bookmarkStart w:id="43" w:name="_Toc57215534"/>
      <w:bookmarkStart w:id="44" w:name="_Toc41137891"/>
      <w:bookmarkStart w:id="45" w:name="_Toc57215537"/>
      <w:r>
        <w:rPr>
          <w:rFonts w:ascii="Times New Roman" w:hAnsi="Times New Roman"/>
          <w:b w:val="0"/>
          <w:bCs w:val="0"/>
        </w:rPr>
        <w:t>第一节 指导思想</w:t>
      </w:r>
      <w:bookmarkEnd w:id="38"/>
      <w:bookmarkEnd w:id="39"/>
      <w:bookmarkEnd w:id="40"/>
      <w:bookmarkEnd w:id="41"/>
    </w:p>
    <w:p w14:paraId="09F3BFF5">
      <w:pPr>
        <w:spacing w:line="600" w:lineRule="exact"/>
        <w:ind w:firstLine="640" w:firstLineChars="200"/>
        <w:rPr>
          <w:sz w:val="22"/>
        </w:rPr>
      </w:pPr>
      <w:bookmarkStart w:id="46" w:name="_Toc58050343"/>
      <w:r>
        <w:rPr>
          <w:rFonts w:eastAsia="仿宋_GB2312"/>
          <w:kern w:val="0"/>
          <w:sz w:val="32"/>
          <w:szCs w:val="32"/>
        </w:rPr>
        <w:t>以习近平新时代中国特色社会主义思想为指导，深入贯彻党的二十大精神，全面落实习近平总书记关于内蒙古工作重要讲话</w:t>
      </w:r>
      <w:r>
        <w:rPr>
          <w:rFonts w:hint="eastAsia" w:eastAsia="仿宋_GB2312"/>
          <w:kern w:val="0"/>
          <w:sz w:val="32"/>
          <w:szCs w:val="32"/>
        </w:rPr>
        <w:t>和</w:t>
      </w:r>
      <w:r>
        <w:rPr>
          <w:rFonts w:eastAsia="仿宋_GB2312"/>
          <w:kern w:val="0"/>
          <w:sz w:val="32"/>
          <w:szCs w:val="32"/>
        </w:rPr>
        <w:t>指示批示精神，统筹推进</w:t>
      </w:r>
      <w:r>
        <w:rPr>
          <w:rFonts w:hint="eastAsia" w:eastAsia="仿宋_GB2312"/>
          <w:kern w:val="0"/>
          <w:sz w:val="32"/>
          <w:szCs w:val="32"/>
        </w:rPr>
        <w:t>“</w:t>
      </w:r>
      <w:r>
        <w:rPr>
          <w:rFonts w:eastAsia="仿宋_GB2312"/>
          <w:kern w:val="0"/>
          <w:sz w:val="32"/>
          <w:szCs w:val="32"/>
        </w:rPr>
        <w:t>五位一体</w:t>
      </w:r>
      <w:r>
        <w:rPr>
          <w:rFonts w:hint="eastAsia" w:eastAsia="仿宋_GB2312"/>
          <w:kern w:val="0"/>
          <w:sz w:val="32"/>
          <w:szCs w:val="32"/>
        </w:rPr>
        <w:t>”</w:t>
      </w:r>
      <w:r>
        <w:rPr>
          <w:rFonts w:eastAsia="仿宋_GB2312"/>
          <w:kern w:val="0"/>
          <w:sz w:val="32"/>
          <w:szCs w:val="32"/>
        </w:rPr>
        <w:t>总体布局，协调推进</w:t>
      </w:r>
      <w:r>
        <w:rPr>
          <w:rFonts w:hint="eastAsia" w:eastAsia="仿宋_GB2312"/>
          <w:kern w:val="0"/>
          <w:sz w:val="32"/>
          <w:szCs w:val="32"/>
        </w:rPr>
        <w:t>“</w:t>
      </w:r>
      <w:r>
        <w:rPr>
          <w:rFonts w:eastAsia="仿宋_GB2312"/>
          <w:kern w:val="0"/>
          <w:sz w:val="32"/>
          <w:szCs w:val="32"/>
        </w:rPr>
        <w:t>四个全面</w:t>
      </w:r>
      <w:r>
        <w:rPr>
          <w:rFonts w:hint="eastAsia" w:eastAsia="仿宋_GB2312"/>
          <w:kern w:val="0"/>
          <w:sz w:val="32"/>
          <w:szCs w:val="32"/>
        </w:rPr>
        <w:t>”</w:t>
      </w:r>
      <w:r>
        <w:rPr>
          <w:rFonts w:eastAsia="仿宋_GB2312"/>
          <w:kern w:val="0"/>
          <w:sz w:val="32"/>
          <w:szCs w:val="32"/>
        </w:rPr>
        <w:t>战略布局，立足新发展阶段，完整、准确、全面贯彻新发展理念，</w:t>
      </w:r>
      <w:r>
        <w:rPr>
          <w:rFonts w:hint="eastAsia" w:eastAsia="仿宋_GB2312"/>
          <w:kern w:val="0"/>
          <w:sz w:val="32"/>
          <w:szCs w:val="32"/>
        </w:rPr>
        <w:t>支撑构建</w:t>
      </w:r>
      <w:r>
        <w:rPr>
          <w:rFonts w:eastAsia="仿宋_GB2312"/>
          <w:kern w:val="0"/>
          <w:sz w:val="32"/>
          <w:szCs w:val="32"/>
        </w:rPr>
        <w:t>新发展格局，深入实施区域协调发展战略、区域重大战略、主体功能区战略、新型城镇化战略，突出</w:t>
      </w:r>
      <w:r>
        <w:rPr>
          <w:rFonts w:hint="eastAsia" w:eastAsia="仿宋_GB2312"/>
          <w:kern w:val="0"/>
          <w:sz w:val="32"/>
          <w:szCs w:val="32"/>
        </w:rPr>
        <w:t>我国北方重要生态安全屏障、祖国北疆安全稳定屏障、国家重要能源和战略资源基地、国家重要农畜产品生产基地，以及我国向</w:t>
      </w:r>
      <w:bookmarkStart w:id="342" w:name="_GoBack"/>
      <w:bookmarkEnd w:id="342"/>
      <w:r>
        <w:rPr>
          <w:rFonts w:hint="eastAsia" w:eastAsia="仿宋_GB2312"/>
          <w:kern w:val="0"/>
          <w:sz w:val="32"/>
          <w:szCs w:val="32"/>
        </w:rPr>
        <w:t>北开放重要桥头堡</w:t>
      </w:r>
      <w:r>
        <w:rPr>
          <w:rFonts w:eastAsia="仿宋_GB2312"/>
          <w:kern w:val="0"/>
          <w:sz w:val="32"/>
          <w:szCs w:val="32"/>
        </w:rPr>
        <w:t>的战略定位，坚持人与自然和谐共生，统筹山水林田湖草沙一体化保护和系统治理，坚持不搞大开发、共抓大保护，统筹国土空间保护、开发、利用、修复，优化重大生产力布局，构建优势互补、高质量发展的区域经济布局和国土空间体系，提高国土空间品质，提升国土空间治理体系和治理能力现代化水平，形成以生态优先、绿色发展为导向的国土空间新格局。</w:t>
      </w:r>
      <w:bookmarkEnd w:id="42"/>
      <w:bookmarkEnd w:id="43"/>
      <w:bookmarkEnd w:id="44"/>
      <w:bookmarkEnd w:id="45"/>
      <w:bookmarkEnd w:id="46"/>
      <w:bookmarkStart w:id="47" w:name="_Toc58857406"/>
      <w:bookmarkStart w:id="48" w:name="_Toc58266341"/>
      <w:bookmarkStart w:id="49" w:name="_Toc41137892"/>
      <w:bookmarkStart w:id="50" w:name="_Toc43113660"/>
    </w:p>
    <w:p w14:paraId="1D40D9DD">
      <w:pPr>
        <w:pStyle w:val="3"/>
        <w:spacing w:before="156" w:beforeLines="50" w:after="156" w:afterLines="50" w:line="600" w:lineRule="exact"/>
        <w:rPr>
          <w:rFonts w:ascii="Times New Roman" w:hAnsi="Times New Roman"/>
          <w:b w:val="0"/>
          <w:bCs w:val="0"/>
        </w:rPr>
      </w:pPr>
      <w:bookmarkStart w:id="51" w:name="_Toc160715624"/>
      <w:bookmarkStart w:id="52" w:name="_Toc155861045"/>
      <w:r>
        <w:rPr>
          <w:rFonts w:ascii="Times New Roman" w:hAnsi="Times New Roman"/>
          <w:b w:val="0"/>
          <w:bCs w:val="0"/>
        </w:rPr>
        <w:t>第二节 主要目标</w:t>
      </w:r>
      <w:bookmarkEnd w:id="47"/>
      <w:bookmarkEnd w:id="48"/>
      <w:bookmarkEnd w:id="49"/>
      <w:bookmarkEnd w:id="50"/>
      <w:bookmarkEnd w:id="51"/>
      <w:bookmarkEnd w:id="52"/>
    </w:p>
    <w:p w14:paraId="2FE214B2">
      <w:pPr>
        <w:widowControl/>
        <w:ind w:firstLine="640" w:firstLineChars="200"/>
        <w:jc w:val="left"/>
        <w:rPr>
          <w:sz w:val="22"/>
        </w:rPr>
      </w:pPr>
      <w:r>
        <w:rPr>
          <w:rFonts w:eastAsia="仿宋_GB2312"/>
          <w:kern w:val="0"/>
          <w:sz w:val="32"/>
          <w:szCs w:val="32"/>
        </w:rPr>
        <w:t>综合考虑内蒙古</w:t>
      </w:r>
      <w:r>
        <w:rPr>
          <w:rFonts w:hint="eastAsia" w:eastAsia="仿宋_GB2312"/>
          <w:kern w:val="0"/>
          <w:sz w:val="32"/>
          <w:szCs w:val="32"/>
        </w:rPr>
        <w:t>自治区</w:t>
      </w:r>
      <w:r>
        <w:rPr>
          <w:rFonts w:eastAsia="仿宋_GB2312"/>
          <w:kern w:val="0"/>
          <w:sz w:val="32"/>
          <w:szCs w:val="32"/>
        </w:rPr>
        <w:t>战略定位和发展条件，坚持目标导向和问题导向相结合，到2035年，内蒙古</w:t>
      </w:r>
      <w:r>
        <w:rPr>
          <w:rFonts w:hint="eastAsia" w:eastAsia="仿宋_GB2312"/>
          <w:kern w:val="0"/>
          <w:sz w:val="32"/>
          <w:szCs w:val="32"/>
        </w:rPr>
        <w:t>自治区</w:t>
      </w:r>
      <w:r>
        <w:rPr>
          <w:rFonts w:eastAsia="仿宋_GB2312"/>
          <w:kern w:val="0"/>
          <w:sz w:val="32"/>
          <w:szCs w:val="32"/>
        </w:rPr>
        <w:t>国土空间保护开发要</w:t>
      </w:r>
      <w:r>
        <w:rPr>
          <w:rFonts w:hint="eastAsia" w:eastAsia="仿宋_GB2312"/>
          <w:kern w:val="0"/>
          <w:sz w:val="32"/>
          <w:szCs w:val="32"/>
        </w:rPr>
        <w:t>力争</w:t>
      </w:r>
      <w:r>
        <w:rPr>
          <w:rFonts w:eastAsia="仿宋_GB2312"/>
          <w:kern w:val="0"/>
          <w:sz w:val="32"/>
          <w:szCs w:val="32"/>
        </w:rPr>
        <w:t>实现以下主要目标。</w:t>
      </w:r>
    </w:p>
    <w:p w14:paraId="6CE48D46">
      <w:pPr>
        <w:spacing w:line="600" w:lineRule="exact"/>
        <w:ind w:firstLine="640" w:firstLineChars="200"/>
        <w:rPr>
          <w:rFonts w:eastAsia="仿宋_GB2312"/>
          <w:kern w:val="0"/>
          <w:sz w:val="32"/>
          <w:szCs w:val="32"/>
        </w:rPr>
      </w:pPr>
      <w:r>
        <w:rPr>
          <w:rFonts w:eastAsia="楷体_GB2312"/>
          <w:iCs/>
          <w:sz w:val="32"/>
          <w:szCs w:val="32"/>
        </w:rPr>
        <w:t>国土空间格局功能明晰，区域整体竞争力大幅提升。</w:t>
      </w:r>
      <w:r>
        <w:rPr>
          <w:rFonts w:eastAsia="仿宋_GB2312"/>
          <w:kern w:val="0"/>
          <w:sz w:val="32"/>
          <w:szCs w:val="32"/>
        </w:rPr>
        <w:t>优化调整国土空间保护开发布局，农产品主产区、重点生态功能区、城市化地区的保护利用开发空间</w:t>
      </w:r>
      <w:r>
        <w:rPr>
          <w:rFonts w:hint="eastAsia" w:eastAsia="仿宋_GB2312"/>
          <w:kern w:val="0"/>
          <w:sz w:val="32"/>
          <w:szCs w:val="32"/>
        </w:rPr>
        <w:t>功能明晰</w:t>
      </w:r>
      <w:r>
        <w:rPr>
          <w:rFonts w:eastAsia="仿宋_GB2312"/>
          <w:kern w:val="0"/>
          <w:sz w:val="32"/>
          <w:szCs w:val="32"/>
        </w:rPr>
        <w:t>，基本形成生产空间集约高效、生活空间宜居适度、生态空间山清水秀，安全和谐、富有竞争力和可持续发展的国土空间格局。</w:t>
      </w:r>
    </w:p>
    <w:p w14:paraId="061B1F5B">
      <w:pPr>
        <w:spacing w:line="600" w:lineRule="exact"/>
        <w:ind w:firstLine="640" w:firstLineChars="200"/>
        <w:rPr>
          <w:rFonts w:eastAsia="仿宋_GB2312"/>
          <w:kern w:val="0"/>
          <w:sz w:val="32"/>
          <w:szCs w:val="32"/>
        </w:rPr>
      </w:pPr>
      <w:r>
        <w:rPr>
          <w:rFonts w:eastAsia="楷体_GB2312"/>
          <w:sz w:val="32"/>
          <w:szCs w:val="32"/>
        </w:rPr>
        <w:t>生态安全屏障更加牢固，可持续发展能力显著增强。</w:t>
      </w:r>
      <w:r>
        <w:rPr>
          <w:rFonts w:eastAsia="仿宋_GB2312"/>
          <w:kern w:val="0"/>
          <w:sz w:val="32"/>
          <w:szCs w:val="32"/>
        </w:rPr>
        <w:t>加快建设我国北方重要生态安全屏障，节约资源和保护生态环境的国土</w:t>
      </w:r>
      <w:r>
        <w:rPr>
          <w:rFonts w:hint="eastAsia" w:eastAsia="仿宋_GB2312"/>
          <w:kern w:val="0"/>
          <w:sz w:val="32"/>
          <w:szCs w:val="32"/>
        </w:rPr>
        <w:t>空间</w:t>
      </w:r>
      <w:r>
        <w:rPr>
          <w:rFonts w:eastAsia="仿宋_GB2312"/>
          <w:kern w:val="0"/>
          <w:sz w:val="32"/>
          <w:szCs w:val="32"/>
        </w:rPr>
        <w:t>利用方式总体形成，草原退化、土地沙化和水土流失态势有效遏制，林地保有量稳中有增，生物多样性得到切实保护，生态环境根本好转，生态系统更加稳定，生态功能显著提升，基本实现国土空间治理体系和治理能力现代化。</w:t>
      </w:r>
    </w:p>
    <w:p w14:paraId="6F1E8740">
      <w:pPr>
        <w:pStyle w:val="48"/>
        <w:spacing w:line="600" w:lineRule="exact"/>
        <w:ind w:firstLine="616" w:firstLineChars="200"/>
        <w:jc w:val="both"/>
        <w:rPr>
          <w:rFonts w:ascii="Times New Roman" w:hAnsi="Times New Roman" w:eastAsia="仿宋_GB2312" w:cs="Times New Roman"/>
          <w:color w:val="auto"/>
          <w:spacing w:val="-6"/>
          <w:sz w:val="32"/>
          <w:szCs w:val="32"/>
        </w:rPr>
      </w:pPr>
      <w:r>
        <w:rPr>
          <w:rFonts w:ascii="Times New Roman" w:hAnsi="Times New Roman" w:eastAsia="楷体_GB2312" w:cs="Times New Roman"/>
          <w:color w:val="auto"/>
          <w:spacing w:val="-6"/>
          <w:kern w:val="2"/>
          <w:sz w:val="32"/>
          <w:szCs w:val="32"/>
        </w:rPr>
        <w:t>农牧用地布局结构明显优化，绿色农畜产品供给增强。</w:t>
      </w:r>
      <w:r>
        <w:rPr>
          <w:rFonts w:ascii="Times New Roman" w:hAnsi="Times New Roman" w:eastAsia="仿宋_GB2312" w:cs="Times New Roman"/>
          <w:color w:val="auto"/>
          <w:spacing w:val="-6"/>
          <w:sz w:val="32"/>
          <w:szCs w:val="32"/>
        </w:rPr>
        <w:t>在</w:t>
      </w:r>
      <w:r>
        <w:rPr>
          <w:rFonts w:hint="eastAsia" w:ascii="Times New Roman" w:hAnsi="Times New Roman" w:eastAsia="仿宋_GB2312" w:cs="Times New Roman"/>
          <w:color w:val="auto"/>
          <w:spacing w:val="-6"/>
          <w:sz w:val="32"/>
          <w:szCs w:val="32"/>
        </w:rPr>
        <w:t>“</w:t>
      </w:r>
      <w:r>
        <w:rPr>
          <w:rFonts w:ascii="Times New Roman" w:hAnsi="Times New Roman" w:eastAsia="仿宋_GB2312" w:cs="Times New Roman"/>
          <w:color w:val="auto"/>
          <w:spacing w:val="-6"/>
          <w:sz w:val="32"/>
          <w:szCs w:val="32"/>
        </w:rPr>
        <w:t>三区三线</w:t>
      </w:r>
      <w:r>
        <w:rPr>
          <w:rFonts w:hint="eastAsia" w:ascii="Times New Roman" w:hAnsi="Times New Roman" w:eastAsia="仿宋_GB2312" w:cs="Times New Roman"/>
          <w:color w:val="auto"/>
          <w:spacing w:val="-6"/>
          <w:sz w:val="32"/>
          <w:szCs w:val="32"/>
        </w:rPr>
        <w:t>”</w:t>
      </w:r>
      <w:r>
        <w:rPr>
          <w:rFonts w:ascii="Times New Roman" w:hAnsi="Times New Roman" w:eastAsia="仿宋_GB2312" w:cs="Times New Roman"/>
          <w:color w:val="auto"/>
          <w:spacing w:val="-6"/>
          <w:sz w:val="32"/>
          <w:szCs w:val="32"/>
        </w:rPr>
        <w:t>划定成果的基础上，划定基本草原，突出粮食生产功能区、重要农产品生产保护区和特色农畜产品优势区功能，农畜产品生产基地向高端化、智能化、绿色化加速转型，现代化农牧业与生态农牧业发展成效显著，绿色农畜产品供给保障有力，乡村振兴取得明显成效，农牧业资源利用高效，农村牧区生态宜居的新格局基本形成。</w:t>
      </w:r>
    </w:p>
    <w:p w14:paraId="40D3E124">
      <w:pPr>
        <w:overflowPunct w:val="0"/>
        <w:topLinePunct/>
        <w:adjustRightInd w:val="0"/>
        <w:snapToGrid w:val="0"/>
        <w:spacing w:line="600" w:lineRule="exact"/>
        <w:ind w:firstLine="616" w:firstLineChars="200"/>
        <w:textAlignment w:val="center"/>
        <w:rPr>
          <w:rFonts w:eastAsia="仿宋_GB2312"/>
          <w:spacing w:val="-6"/>
          <w:kern w:val="0"/>
          <w:sz w:val="32"/>
          <w:szCs w:val="32"/>
        </w:rPr>
      </w:pPr>
      <w:r>
        <w:rPr>
          <w:rFonts w:eastAsia="楷体_GB2312"/>
          <w:spacing w:val="-6"/>
          <w:sz w:val="32"/>
          <w:szCs w:val="32"/>
        </w:rPr>
        <w:t>城镇集中集聚集约成效凸显，城乡区域发展更加均衡。</w:t>
      </w:r>
      <w:r>
        <w:rPr>
          <w:rFonts w:eastAsia="仿宋_GB2312"/>
          <w:spacing w:val="-6"/>
          <w:kern w:val="0"/>
          <w:sz w:val="32"/>
          <w:szCs w:val="32"/>
        </w:rPr>
        <w:t>推进以城市群和中心城市为核心、以边境城市和沿边口岸为依托、以旗县中心城镇为补充的城镇体系建设，基本形成多中心带动、多层级联动、多节点互动的新型城镇化格局，城镇用地节约集约利用水平明显提升，能源资源配置更加合理、利用效率大幅提高，人居环境明显改善，城乡区域发展更加均衡。</w:t>
      </w:r>
    </w:p>
    <w:p w14:paraId="3B92E9EA">
      <w:pPr>
        <w:overflowPunct w:val="0"/>
        <w:topLinePunct/>
        <w:adjustRightInd w:val="0"/>
        <w:snapToGrid w:val="0"/>
        <w:spacing w:line="600" w:lineRule="exact"/>
        <w:ind w:firstLine="640" w:firstLineChars="200"/>
        <w:textAlignment w:val="center"/>
        <w:rPr>
          <w:rFonts w:eastAsia="仿宋_GB2312"/>
          <w:kern w:val="0"/>
          <w:sz w:val="32"/>
          <w:szCs w:val="32"/>
        </w:rPr>
      </w:pPr>
      <w:r>
        <w:rPr>
          <w:rFonts w:eastAsia="楷体_GB2312"/>
          <w:sz w:val="32"/>
          <w:szCs w:val="32"/>
        </w:rPr>
        <w:t>基础设施建设体系趋于完善，国土</w:t>
      </w:r>
      <w:r>
        <w:rPr>
          <w:rFonts w:hint="eastAsia" w:eastAsia="楷体_GB2312"/>
          <w:sz w:val="32"/>
          <w:szCs w:val="32"/>
        </w:rPr>
        <w:t>空间</w:t>
      </w:r>
      <w:r>
        <w:rPr>
          <w:rFonts w:eastAsia="楷体_GB2312"/>
          <w:sz w:val="32"/>
          <w:szCs w:val="32"/>
        </w:rPr>
        <w:t>保障能力明显提升。</w:t>
      </w:r>
      <w:r>
        <w:rPr>
          <w:rFonts w:eastAsia="仿宋_GB2312"/>
          <w:kern w:val="0"/>
          <w:sz w:val="32"/>
          <w:szCs w:val="32"/>
        </w:rPr>
        <w:t>加大区域性、综合性重大基础设施建设空间保障力度，基本形成以国家铁路网、高等级公路网、航空网、信息网、能源网、水利网为主骨架，地方基础设施为补充的网络化基础设施廊道空间，综合交通、信息通讯、物联网、能源网等基础设施互联互通水平明显提升，水利基础设施更加完善，防灾减灾救灾体系基本建成，抵御自然灾害能力显著提升。</w:t>
      </w:r>
    </w:p>
    <w:p w14:paraId="6E1726CD">
      <w:pPr>
        <w:overflowPunct w:val="0"/>
        <w:topLinePunct/>
        <w:spacing w:line="600" w:lineRule="exact"/>
        <w:ind w:firstLine="640" w:firstLineChars="200"/>
        <w:jc w:val="left"/>
        <w:textAlignment w:val="center"/>
        <w:rPr>
          <w:rFonts w:eastAsia="仿宋_GB2312"/>
          <w:kern w:val="0"/>
          <w:sz w:val="32"/>
          <w:szCs w:val="32"/>
        </w:rPr>
      </w:pPr>
      <w:r>
        <w:rPr>
          <w:rFonts w:eastAsia="仿宋_GB2312"/>
          <w:kern w:val="0"/>
          <w:sz w:val="32"/>
          <w:szCs w:val="32"/>
        </w:rPr>
        <w:t>展望2050年，内蒙古</w:t>
      </w:r>
      <w:r>
        <w:rPr>
          <w:rFonts w:hint="eastAsia" w:eastAsia="仿宋_GB2312"/>
          <w:kern w:val="0"/>
          <w:sz w:val="32"/>
          <w:szCs w:val="32"/>
        </w:rPr>
        <w:t>自治区</w:t>
      </w:r>
      <w:r>
        <w:rPr>
          <w:rFonts w:eastAsia="仿宋_GB2312"/>
          <w:kern w:val="0"/>
          <w:sz w:val="32"/>
          <w:szCs w:val="32"/>
        </w:rPr>
        <w:t>国土空间格局全面优化，生态环境更加优美，生产方式和生活方式全面实现绿色转型，人民生活更加美好。新型工业化、信息化、</w:t>
      </w:r>
      <w:r>
        <w:rPr>
          <w:rFonts w:hint="eastAsia" w:eastAsia="仿宋_GB2312"/>
          <w:kern w:val="0"/>
          <w:sz w:val="32"/>
          <w:szCs w:val="32"/>
        </w:rPr>
        <w:t>新型</w:t>
      </w:r>
      <w:r>
        <w:rPr>
          <w:rFonts w:eastAsia="仿宋_GB2312"/>
          <w:kern w:val="0"/>
          <w:sz w:val="32"/>
          <w:szCs w:val="32"/>
        </w:rPr>
        <w:t>城镇化、农牧业现代化全面实现，符合战略定位的现代绿色产业体系、新型城镇体系、基础设施体系全面建成，总体形成科学合理</w:t>
      </w:r>
      <w:r>
        <w:rPr>
          <w:rFonts w:hint="eastAsia" w:eastAsia="仿宋_GB2312"/>
          <w:kern w:val="0"/>
          <w:sz w:val="32"/>
          <w:szCs w:val="32"/>
        </w:rPr>
        <w:t>和</w:t>
      </w:r>
      <w:r>
        <w:rPr>
          <w:rFonts w:eastAsia="仿宋_GB2312"/>
          <w:kern w:val="0"/>
          <w:sz w:val="32"/>
          <w:szCs w:val="32"/>
        </w:rPr>
        <w:t>节约集约的生产、生活、生态空间，现代城市、田园风光、草原牧歌交相融会，我国北方重要生态安全屏障、</w:t>
      </w:r>
      <w:r>
        <w:rPr>
          <w:rFonts w:hint="eastAsia" w:eastAsia="仿宋_GB2312"/>
          <w:kern w:val="0"/>
          <w:sz w:val="32"/>
          <w:szCs w:val="32"/>
        </w:rPr>
        <w:t>祖国北疆</w:t>
      </w:r>
      <w:r>
        <w:rPr>
          <w:rFonts w:eastAsia="仿宋_GB2312"/>
          <w:kern w:val="0"/>
          <w:sz w:val="32"/>
          <w:szCs w:val="32"/>
        </w:rPr>
        <w:t>安全稳定屏障更加牢固，国土空间治理体系和治理能力</w:t>
      </w:r>
      <w:r>
        <w:rPr>
          <w:rFonts w:hint="eastAsia" w:eastAsia="仿宋_GB2312"/>
          <w:kern w:val="0"/>
          <w:sz w:val="32"/>
          <w:szCs w:val="32"/>
        </w:rPr>
        <w:t>全面</w:t>
      </w:r>
      <w:r>
        <w:rPr>
          <w:rFonts w:eastAsia="仿宋_GB2312"/>
          <w:kern w:val="0"/>
          <w:sz w:val="32"/>
          <w:szCs w:val="32"/>
        </w:rPr>
        <w:t>实现现代化，推动建成生态环境良好、经济文化</w:t>
      </w:r>
      <w:r>
        <w:rPr>
          <w:rFonts w:hint="eastAsia" w:eastAsia="仿宋_GB2312"/>
          <w:kern w:val="0"/>
          <w:sz w:val="32"/>
          <w:szCs w:val="32"/>
        </w:rPr>
        <w:t>繁荣</w:t>
      </w:r>
      <w:r>
        <w:rPr>
          <w:rFonts w:eastAsia="仿宋_GB2312"/>
          <w:kern w:val="0"/>
          <w:sz w:val="32"/>
          <w:szCs w:val="32"/>
        </w:rPr>
        <w:t>、社会和谐稳定的现代文明之区。</w:t>
      </w:r>
      <w:bookmarkStart w:id="53" w:name="_Toc43113659"/>
      <w:bookmarkStart w:id="54" w:name="_Toc58266342"/>
      <w:bookmarkStart w:id="55" w:name="_Toc58857407"/>
    </w:p>
    <w:p w14:paraId="2CBC478E">
      <w:pPr>
        <w:spacing w:before="156" w:beforeLines="50" w:after="156" w:afterLines="50"/>
        <w:jc w:val="center"/>
        <w:outlineLvl w:val="1"/>
        <w:rPr>
          <w:rFonts w:eastAsia="黑体"/>
          <w:sz w:val="32"/>
          <w:highlight w:val="none"/>
        </w:rPr>
      </w:pPr>
      <w:bookmarkStart w:id="56" w:name="_Toc155861047"/>
      <w:bookmarkStart w:id="57" w:name="_Toc160715625"/>
      <w:r>
        <w:rPr>
          <w:rFonts w:hAnsi="黑体" w:eastAsia="黑体"/>
          <w:sz w:val="32"/>
          <w:highlight w:val="none"/>
        </w:rPr>
        <w:t>第三节</w:t>
      </w:r>
      <w:r>
        <w:rPr>
          <w:rFonts w:eastAsia="黑体"/>
          <w:sz w:val="32"/>
          <w:highlight w:val="none"/>
        </w:rPr>
        <w:t xml:space="preserve"> </w:t>
      </w:r>
      <w:r>
        <w:rPr>
          <w:rFonts w:hAnsi="黑体" w:eastAsia="黑体"/>
          <w:sz w:val="32"/>
          <w:highlight w:val="none"/>
        </w:rPr>
        <w:t>保护开发战略</w:t>
      </w:r>
      <w:bookmarkEnd w:id="53"/>
      <w:bookmarkEnd w:id="54"/>
      <w:bookmarkEnd w:id="55"/>
      <w:bookmarkEnd w:id="56"/>
      <w:bookmarkEnd w:id="57"/>
    </w:p>
    <w:p w14:paraId="3E7ABB43">
      <w:pPr>
        <w:overflowPunct w:val="0"/>
        <w:topLinePunct/>
        <w:adjustRightInd w:val="0"/>
        <w:snapToGrid w:val="0"/>
        <w:spacing w:line="600" w:lineRule="exact"/>
        <w:ind w:firstLine="640" w:firstLineChars="200"/>
        <w:textAlignment w:val="center"/>
        <w:rPr>
          <w:rFonts w:eastAsia="仿宋_GB2312"/>
          <w:kern w:val="0"/>
          <w:sz w:val="32"/>
          <w:szCs w:val="32"/>
        </w:rPr>
      </w:pPr>
      <w:r>
        <w:rPr>
          <w:rFonts w:eastAsia="仿宋_GB2312"/>
          <w:kern w:val="0"/>
          <w:sz w:val="32"/>
          <w:szCs w:val="32"/>
        </w:rPr>
        <w:t>内蒙古</w:t>
      </w:r>
      <w:r>
        <w:rPr>
          <w:rFonts w:hint="eastAsia" w:eastAsia="仿宋_GB2312"/>
          <w:kern w:val="0"/>
          <w:sz w:val="32"/>
          <w:szCs w:val="32"/>
        </w:rPr>
        <w:t>自治区</w:t>
      </w:r>
      <w:r>
        <w:rPr>
          <w:rFonts w:eastAsia="仿宋_GB2312"/>
          <w:kern w:val="0"/>
          <w:sz w:val="32"/>
          <w:szCs w:val="32"/>
        </w:rPr>
        <w:t>区域位置独特，自然和生态资源丰富，民族文化多姿多彩，发展潜力巨大，战略地位重要。国土空间保护、开发、利用、修复重点围绕我国北方重要生态安全屏障</w:t>
      </w:r>
      <w:r>
        <w:rPr>
          <w:rFonts w:hint="eastAsia" w:eastAsia="仿宋_GB2312"/>
          <w:kern w:val="0"/>
          <w:sz w:val="32"/>
          <w:szCs w:val="32"/>
        </w:rPr>
        <w:t>，</w:t>
      </w:r>
      <w:r>
        <w:rPr>
          <w:rFonts w:eastAsia="仿宋_GB2312"/>
          <w:kern w:val="0"/>
          <w:sz w:val="32"/>
          <w:szCs w:val="32"/>
        </w:rPr>
        <w:t>祖国北疆安全稳定屏障</w:t>
      </w:r>
      <w:r>
        <w:rPr>
          <w:rFonts w:hint="eastAsia" w:eastAsia="仿宋_GB2312"/>
          <w:kern w:val="0"/>
          <w:sz w:val="32"/>
          <w:szCs w:val="32"/>
        </w:rPr>
        <w:t>，</w:t>
      </w:r>
      <w:r>
        <w:rPr>
          <w:rFonts w:eastAsia="仿宋_GB2312"/>
          <w:kern w:val="0"/>
          <w:sz w:val="32"/>
          <w:szCs w:val="32"/>
        </w:rPr>
        <w:t>国家重要能源和战略资源基地</w:t>
      </w:r>
      <w:r>
        <w:rPr>
          <w:rFonts w:hint="eastAsia" w:eastAsia="仿宋_GB2312"/>
          <w:kern w:val="0"/>
          <w:sz w:val="32"/>
          <w:szCs w:val="32"/>
        </w:rPr>
        <w:t>，国家重要</w:t>
      </w:r>
      <w:r>
        <w:rPr>
          <w:rFonts w:eastAsia="仿宋_GB2312"/>
          <w:kern w:val="0"/>
          <w:sz w:val="32"/>
          <w:szCs w:val="32"/>
        </w:rPr>
        <w:t>农畜产品生产基地</w:t>
      </w:r>
      <w:r>
        <w:rPr>
          <w:rFonts w:hint="eastAsia" w:eastAsia="仿宋_GB2312"/>
          <w:kern w:val="0"/>
          <w:sz w:val="32"/>
          <w:szCs w:val="32"/>
        </w:rPr>
        <w:t>，</w:t>
      </w:r>
      <w:r>
        <w:rPr>
          <w:rFonts w:eastAsia="仿宋_GB2312"/>
          <w:kern w:val="0"/>
          <w:sz w:val="32"/>
          <w:szCs w:val="32"/>
        </w:rPr>
        <w:t>我国向北开放重要桥头堡的战略定位，全力实施五项战略。</w:t>
      </w:r>
    </w:p>
    <w:p w14:paraId="7F4ED49C">
      <w:pPr>
        <w:spacing w:line="600" w:lineRule="exact"/>
        <w:ind w:firstLine="640" w:firstLineChars="200"/>
        <w:rPr>
          <w:rFonts w:eastAsia="仿宋_GB2312"/>
          <w:kern w:val="0"/>
          <w:sz w:val="32"/>
          <w:szCs w:val="32"/>
        </w:rPr>
      </w:pPr>
      <w:r>
        <w:rPr>
          <w:rFonts w:eastAsia="楷体_GB2312"/>
          <w:bCs/>
          <w:kern w:val="0"/>
          <w:sz w:val="32"/>
          <w:szCs w:val="32"/>
        </w:rPr>
        <w:t>全域保护战略。</w:t>
      </w:r>
      <w:r>
        <w:rPr>
          <w:rFonts w:eastAsia="仿宋_GB2312"/>
          <w:kern w:val="0"/>
          <w:sz w:val="32"/>
          <w:szCs w:val="32"/>
        </w:rPr>
        <w:t>坚持从维护国家生态安全的战略高度把握内蒙古</w:t>
      </w:r>
      <w:r>
        <w:rPr>
          <w:rFonts w:hint="eastAsia" w:eastAsia="仿宋_GB2312"/>
          <w:kern w:val="0"/>
          <w:sz w:val="32"/>
          <w:szCs w:val="32"/>
        </w:rPr>
        <w:t>自治区</w:t>
      </w:r>
      <w:r>
        <w:rPr>
          <w:rFonts w:eastAsia="仿宋_GB2312"/>
          <w:kern w:val="0"/>
          <w:sz w:val="32"/>
          <w:szCs w:val="32"/>
        </w:rPr>
        <w:t>国土空间发展方向，谋划国土空间保护开发新格局，坚定不移贯彻绿水青山就是金山银山理念，坚决守住生态安全底线，统筹山水林田湖草沙系统治理，维护生态系统整体性、稳定性、安全性，提供更多优质生态产品以满足人民日益增长的</w:t>
      </w:r>
      <w:r>
        <w:rPr>
          <w:rFonts w:hint="eastAsia" w:eastAsia="仿宋_GB2312"/>
          <w:kern w:val="0"/>
          <w:sz w:val="32"/>
          <w:szCs w:val="32"/>
        </w:rPr>
        <w:t>美好生活</w:t>
      </w:r>
      <w:r>
        <w:rPr>
          <w:rFonts w:eastAsia="仿宋_GB2312"/>
          <w:kern w:val="0"/>
          <w:sz w:val="32"/>
          <w:szCs w:val="32"/>
        </w:rPr>
        <w:t>需要，实现生态惠民、生态利民、生态为民，加快建设我国北方重要生态安全屏障，把</w:t>
      </w:r>
      <w:r>
        <w:rPr>
          <w:rFonts w:hint="eastAsia" w:eastAsia="仿宋_GB2312"/>
          <w:kern w:val="0"/>
          <w:sz w:val="32"/>
          <w:szCs w:val="32"/>
        </w:rPr>
        <w:t>“</w:t>
      </w:r>
      <w:r>
        <w:rPr>
          <w:rFonts w:eastAsia="仿宋_GB2312"/>
          <w:kern w:val="0"/>
          <w:sz w:val="32"/>
          <w:szCs w:val="32"/>
        </w:rPr>
        <w:t>万里绿色长城</w:t>
      </w:r>
      <w:r>
        <w:rPr>
          <w:rFonts w:hint="eastAsia" w:eastAsia="仿宋_GB2312"/>
          <w:kern w:val="0"/>
          <w:sz w:val="32"/>
          <w:szCs w:val="32"/>
        </w:rPr>
        <w:t>”</w:t>
      </w:r>
      <w:r>
        <w:rPr>
          <w:rFonts w:eastAsia="仿宋_GB2312"/>
          <w:kern w:val="0"/>
          <w:sz w:val="32"/>
          <w:szCs w:val="32"/>
        </w:rPr>
        <w:t>构筑得更加牢固稳固、美丽亮丽。</w:t>
      </w:r>
    </w:p>
    <w:p w14:paraId="11DF4A3C">
      <w:pPr>
        <w:spacing w:line="600" w:lineRule="exact"/>
        <w:ind w:firstLine="640" w:firstLineChars="200"/>
        <w:rPr>
          <w:rFonts w:eastAsia="仿宋_GB2312"/>
          <w:kern w:val="0"/>
          <w:sz w:val="32"/>
          <w:szCs w:val="32"/>
        </w:rPr>
      </w:pPr>
      <w:r>
        <w:rPr>
          <w:rFonts w:eastAsia="楷体_GB2312"/>
          <w:bCs/>
          <w:kern w:val="0"/>
          <w:sz w:val="32"/>
          <w:szCs w:val="32"/>
        </w:rPr>
        <w:t>集聚开发战略。</w:t>
      </w:r>
      <w:r>
        <w:rPr>
          <w:rFonts w:eastAsia="仿宋_GB2312"/>
          <w:kern w:val="0"/>
          <w:sz w:val="32"/>
          <w:szCs w:val="32"/>
        </w:rPr>
        <w:t>加快转变经济发展方式和国土开发方式，坚持在集聚开发的基础上推动区域协同均衡发展，优化国土空间布局和生产要素配置，引导资源、人口、产业在城镇集聚，推动资源节约集约高效利用，走集中集聚集约发展的路子。深入推进以人为</w:t>
      </w:r>
      <w:r>
        <w:rPr>
          <w:rFonts w:hint="eastAsia" w:eastAsia="仿宋_GB2312"/>
          <w:kern w:val="0"/>
          <w:sz w:val="32"/>
          <w:szCs w:val="32"/>
        </w:rPr>
        <w:t>本</w:t>
      </w:r>
      <w:r>
        <w:rPr>
          <w:rFonts w:eastAsia="仿宋_GB2312"/>
          <w:kern w:val="0"/>
          <w:sz w:val="32"/>
          <w:szCs w:val="32"/>
        </w:rPr>
        <w:t>的新型城镇化，统筹兼顾经济、生活、生态、安全等需要，着力提升城镇综合承载能力和资源配置能力，建设以人民为中心、生态文明为引领、绿色低碳为导向</w:t>
      </w:r>
      <w:r>
        <w:rPr>
          <w:rFonts w:hint="eastAsia" w:eastAsia="仿宋_GB2312"/>
          <w:kern w:val="0"/>
          <w:sz w:val="32"/>
          <w:szCs w:val="32"/>
        </w:rPr>
        <w:t>，</w:t>
      </w:r>
      <w:r>
        <w:rPr>
          <w:rFonts w:eastAsia="仿宋_GB2312"/>
          <w:kern w:val="0"/>
          <w:sz w:val="32"/>
          <w:szCs w:val="32"/>
        </w:rPr>
        <w:t>集疏有序的城镇体系。</w:t>
      </w:r>
    </w:p>
    <w:p w14:paraId="6DD20FD4">
      <w:pPr>
        <w:spacing w:line="600" w:lineRule="exact"/>
        <w:ind w:firstLine="640" w:firstLineChars="200"/>
        <w:rPr>
          <w:rFonts w:eastAsia="仿宋_GB2312"/>
          <w:kern w:val="0"/>
          <w:sz w:val="32"/>
          <w:szCs w:val="32"/>
        </w:rPr>
      </w:pPr>
      <w:r>
        <w:rPr>
          <w:rFonts w:eastAsia="楷体_GB2312"/>
          <w:bCs/>
          <w:kern w:val="0"/>
          <w:sz w:val="32"/>
          <w:szCs w:val="32"/>
        </w:rPr>
        <w:t>绿色高效战略。</w:t>
      </w:r>
      <w:r>
        <w:rPr>
          <w:rFonts w:eastAsia="仿宋_GB2312"/>
          <w:kern w:val="0"/>
          <w:sz w:val="32"/>
          <w:szCs w:val="32"/>
        </w:rPr>
        <w:t>坚持最严格的耕地保护制度，在划定耕地和永久基本农田保护红线的基础上，加强数量、质量、生态</w:t>
      </w:r>
      <w:r>
        <w:rPr>
          <w:rFonts w:hint="eastAsia" w:eastAsia="仿宋_GB2312"/>
          <w:kern w:val="0"/>
          <w:sz w:val="32"/>
          <w:szCs w:val="32"/>
        </w:rPr>
        <w:t>“</w:t>
      </w:r>
      <w:r>
        <w:rPr>
          <w:rFonts w:eastAsia="仿宋_GB2312"/>
          <w:kern w:val="0"/>
          <w:sz w:val="32"/>
          <w:szCs w:val="32"/>
        </w:rPr>
        <w:t>三位一体</w:t>
      </w:r>
      <w:r>
        <w:rPr>
          <w:rFonts w:hint="eastAsia" w:eastAsia="仿宋_GB2312"/>
          <w:kern w:val="0"/>
          <w:sz w:val="32"/>
          <w:szCs w:val="32"/>
        </w:rPr>
        <w:t>”</w:t>
      </w:r>
      <w:r>
        <w:rPr>
          <w:rFonts w:eastAsia="仿宋_GB2312"/>
          <w:kern w:val="0"/>
          <w:sz w:val="32"/>
          <w:szCs w:val="32"/>
        </w:rPr>
        <w:t>耕地保护，为端稳中国</w:t>
      </w:r>
      <w:r>
        <w:rPr>
          <w:rFonts w:hint="eastAsia" w:eastAsia="仿宋_GB2312"/>
          <w:kern w:val="0"/>
          <w:sz w:val="32"/>
          <w:szCs w:val="32"/>
        </w:rPr>
        <w:t>“</w:t>
      </w:r>
      <w:r>
        <w:rPr>
          <w:rFonts w:eastAsia="仿宋_GB2312"/>
          <w:kern w:val="0"/>
          <w:sz w:val="32"/>
          <w:szCs w:val="32"/>
        </w:rPr>
        <w:t>粮食饭碗</w:t>
      </w:r>
      <w:r>
        <w:rPr>
          <w:rFonts w:hint="eastAsia" w:eastAsia="仿宋_GB2312"/>
          <w:kern w:val="0"/>
          <w:sz w:val="32"/>
          <w:szCs w:val="32"/>
        </w:rPr>
        <w:t>”</w:t>
      </w:r>
      <w:r>
        <w:rPr>
          <w:rFonts w:eastAsia="仿宋_GB2312"/>
          <w:kern w:val="0"/>
          <w:sz w:val="32"/>
          <w:szCs w:val="32"/>
        </w:rPr>
        <w:t>作出更大贡献。推动农畜产品生产加工向标准化、品牌化、生态化、安全化、集约化、规模化、高端化发展，打造绿色优势农畜产业集群，加快建设国家</w:t>
      </w:r>
      <w:r>
        <w:rPr>
          <w:rFonts w:hint="eastAsia" w:eastAsia="仿宋_GB2312"/>
          <w:kern w:val="0"/>
          <w:sz w:val="32"/>
          <w:szCs w:val="32"/>
        </w:rPr>
        <w:t>重要</w:t>
      </w:r>
      <w:r>
        <w:rPr>
          <w:rFonts w:eastAsia="仿宋_GB2312"/>
          <w:kern w:val="0"/>
          <w:sz w:val="32"/>
          <w:szCs w:val="32"/>
        </w:rPr>
        <w:t>农畜产品生产基地，努力为国家提供更多优质绿色农畜产品。助力实现</w:t>
      </w:r>
      <w:r>
        <w:rPr>
          <w:rFonts w:hint="eastAsia" w:eastAsia="仿宋_GB2312"/>
          <w:kern w:val="0"/>
          <w:sz w:val="32"/>
          <w:szCs w:val="32"/>
        </w:rPr>
        <w:t>“</w:t>
      </w:r>
      <w:r>
        <w:rPr>
          <w:rFonts w:eastAsia="仿宋_GB2312"/>
          <w:kern w:val="0"/>
          <w:sz w:val="32"/>
          <w:szCs w:val="32"/>
        </w:rPr>
        <w:t>双碳</w:t>
      </w:r>
      <w:r>
        <w:rPr>
          <w:rFonts w:hint="eastAsia" w:eastAsia="仿宋_GB2312"/>
          <w:kern w:val="0"/>
          <w:sz w:val="32"/>
          <w:szCs w:val="32"/>
        </w:rPr>
        <w:t>”</w:t>
      </w:r>
      <w:r>
        <w:rPr>
          <w:rFonts w:eastAsia="仿宋_GB2312"/>
          <w:kern w:val="0"/>
          <w:sz w:val="32"/>
          <w:szCs w:val="32"/>
        </w:rPr>
        <w:t>战略目标，加快转变能源工业发展方式，大力发展现代能源经济，</w:t>
      </w:r>
      <w:r>
        <w:rPr>
          <w:rFonts w:hint="eastAsia" w:eastAsia="仿宋_GB2312"/>
          <w:kern w:val="0"/>
          <w:sz w:val="32"/>
          <w:szCs w:val="32"/>
        </w:rPr>
        <w:t>实现</w:t>
      </w:r>
      <w:r>
        <w:rPr>
          <w:rFonts w:eastAsia="仿宋_GB2312"/>
          <w:kern w:val="0"/>
          <w:sz w:val="32"/>
          <w:szCs w:val="32"/>
        </w:rPr>
        <w:t>煤炭清洁高效利用在国内领先，着力推动内蒙古</w:t>
      </w:r>
      <w:r>
        <w:rPr>
          <w:rFonts w:hint="eastAsia" w:eastAsia="仿宋_GB2312"/>
          <w:kern w:val="0"/>
          <w:sz w:val="32"/>
          <w:szCs w:val="32"/>
        </w:rPr>
        <w:t>自治区</w:t>
      </w:r>
      <w:r>
        <w:rPr>
          <w:rFonts w:eastAsia="仿宋_GB2312"/>
          <w:kern w:val="0"/>
          <w:sz w:val="32"/>
          <w:szCs w:val="32"/>
        </w:rPr>
        <w:t>由化石能源大区向清洁能源大区转变。加强国家战略性矿产资源勘查</w:t>
      </w:r>
      <w:r>
        <w:rPr>
          <w:rFonts w:hint="eastAsia" w:eastAsia="仿宋_GB2312"/>
          <w:kern w:val="0"/>
          <w:sz w:val="32"/>
          <w:szCs w:val="32"/>
        </w:rPr>
        <w:t>，</w:t>
      </w:r>
      <w:r>
        <w:rPr>
          <w:rFonts w:eastAsia="仿宋_GB2312"/>
          <w:kern w:val="0"/>
          <w:sz w:val="32"/>
          <w:szCs w:val="32"/>
        </w:rPr>
        <w:t>保障</w:t>
      </w:r>
      <w:r>
        <w:rPr>
          <w:rFonts w:hint="eastAsia" w:eastAsia="仿宋_GB2312"/>
          <w:kern w:val="0"/>
          <w:sz w:val="32"/>
          <w:szCs w:val="32"/>
        </w:rPr>
        <w:t>国家重要能源和战略资源</w:t>
      </w:r>
      <w:r>
        <w:rPr>
          <w:rFonts w:eastAsia="仿宋_GB2312"/>
          <w:kern w:val="0"/>
          <w:sz w:val="32"/>
          <w:szCs w:val="32"/>
        </w:rPr>
        <w:t>基地</w:t>
      </w:r>
      <w:r>
        <w:rPr>
          <w:rFonts w:hint="eastAsia" w:eastAsia="仿宋_GB2312"/>
          <w:kern w:val="0"/>
          <w:sz w:val="32"/>
          <w:szCs w:val="32"/>
        </w:rPr>
        <w:t>建设</w:t>
      </w:r>
      <w:r>
        <w:rPr>
          <w:rFonts w:eastAsia="仿宋_GB2312"/>
          <w:kern w:val="0"/>
          <w:sz w:val="32"/>
          <w:szCs w:val="32"/>
        </w:rPr>
        <w:t>空间，努力为国家提供更为稳定、更加安全、更加绿色的能源供给。</w:t>
      </w:r>
    </w:p>
    <w:p w14:paraId="6C71149C">
      <w:pPr>
        <w:spacing w:line="600" w:lineRule="exact"/>
        <w:ind w:firstLine="640" w:firstLineChars="200"/>
        <w:jc w:val="left"/>
        <w:rPr>
          <w:rFonts w:eastAsia="仿宋_GB2312"/>
          <w:kern w:val="0"/>
          <w:sz w:val="32"/>
          <w:szCs w:val="32"/>
        </w:rPr>
      </w:pPr>
      <w:r>
        <w:rPr>
          <w:rFonts w:eastAsia="楷体_GB2312"/>
          <w:bCs/>
          <w:kern w:val="0"/>
          <w:sz w:val="32"/>
          <w:szCs w:val="32"/>
        </w:rPr>
        <w:t>魅力草原战略。</w:t>
      </w:r>
      <w:r>
        <w:rPr>
          <w:rFonts w:eastAsia="仿宋_GB2312"/>
          <w:kern w:val="0"/>
          <w:sz w:val="32"/>
          <w:szCs w:val="32"/>
        </w:rPr>
        <w:t>加强草原保护与修复，依托大草原等自然景观和特色地域文化等历史资源，构建独特的景观体系，打造人文生态旅游区，塑造自然、人文、乡村魅力风光，建设祖国北疆亮丽风景线，守好这方碧绿、这片蔚蓝、这份纯净。</w:t>
      </w:r>
    </w:p>
    <w:p w14:paraId="4A3BB1C1">
      <w:pPr>
        <w:spacing w:line="600" w:lineRule="exact"/>
        <w:ind w:firstLine="640" w:firstLineChars="200"/>
        <w:rPr>
          <w:rFonts w:eastAsia="方正小标宋"/>
          <w:sz w:val="40"/>
          <w:szCs w:val="32"/>
        </w:rPr>
      </w:pPr>
      <w:r>
        <w:rPr>
          <w:rFonts w:eastAsia="楷体_GB2312"/>
          <w:bCs/>
          <w:kern w:val="0"/>
          <w:sz w:val="32"/>
          <w:szCs w:val="32"/>
        </w:rPr>
        <w:t>固边强堡战略。</w:t>
      </w:r>
      <w:r>
        <w:rPr>
          <w:rFonts w:eastAsia="仿宋_GB2312"/>
          <w:kern w:val="0"/>
          <w:sz w:val="32"/>
          <w:szCs w:val="32"/>
        </w:rPr>
        <w:t>坚持把稳定摆在全局的突出位置，牢记守望相助的嘱托，深入推进固边兴边富民行动，加强沿边地区基本公共服务和重大基础设施用地保障，</w:t>
      </w:r>
      <w:r>
        <w:rPr>
          <w:rFonts w:eastAsia="仿宋_GB2312"/>
          <w:sz w:val="32"/>
          <w:szCs w:val="32"/>
        </w:rPr>
        <w:t>预留重要国防通道，</w:t>
      </w:r>
      <w:r>
        <w:rPr>
          <w:rFonts w:eastAsia="仿宋_GB2312"/>
          <w:kern w:val="0"/>
          <w:sz w:val="32"/>
          <w:szCs w:val="32"/>
        </w:rPr>
        <w:t>促进边境牧民人口稳定，提升守边固边能力，</w:t>
      </w:r>
      <w:r>
        <w:rPr>
          <w:rFonts w:eastAsia="仿宋_GB2312"/>
          <w:sz w:val="32"/>
          <w:szCs w:val="32"/>
        </w:rPr>
        <w:t>筑牢祖国北疆安全稳定屏障。</w:t>
      </w:r>
      <w:r>
        <w:rPr>
          <w:rFonts w:eastAsia="仿宋_GB2312"/>
          <w:kern w:val="0"/>
          <w:sz w:val="32"/>
          <w:szCs w:val="32"/>
        </w:rPr>
        <w:t>主动服务国家经略周边和对外开放战略，深度融入</w:t>
      </w:r>
      <w:r>
        <w:rPr>
          <w:rFonts w:hint="eastAsia" w:eastAsia="仿宋_GB2312"/>
          <w:kern w:val="0"/>
          <w:sz w:val="32"/>
          <w:szCs w:val="32"/>
        </w:rPr>
        <w:t>共建“</w:t>
      </w:r>
      <w:r>
        <w:rPr>
          <w:rFonts w:eastAsia="仿宋_GB2312"/>
          <w:kern w:val="0"/>
          <w:sz w:val="32"/>
          <w:szCs w:val="32"/>
        </w:rPr>
        <w:t>一带一路</w:t>
      </w:r>
      <w:r>
        <w:rPr>
          <w:rFonts w:hint="eastAsia" w:eastAsia="仿宋_GB2312"/>
          <w:kern w:val="0"/>
          <w:sz w:val="32"/>
          <w:szCs w:val="32"/>
        </w:rPr>
        <w:t>”</w:t>
      </w:r>
      <w:r>
        <w:rPr>
          <w:rFonts w:eastAsia="仿宋_GB2312"/>
          <w:kern w:val="0"/>
          <w:sz w:val="32"/>
          <w:szCs w:val="32"/>
        </w:rPr>
        <w:t>，加强口岸智能化建设，支持城镇口岸融合、军民融合、跨境融合深度发展，推动形成口岸带动、腹地支撑、边腹互动的空间格局，</w:t>
      </w:r>
      <w:r>
        <w:rPr>
          <w:rFonts w:hint="eastAsia" w:eastAsia="仿宋_GB2312"/>
          <w:kern w:val="0"/>
          <w:sz w:val="32"/>
          <w:szCs w:val="32"/>
        </w:rPr>
        <w:t>守好</w:t>
      </w:r>
      <w:r>
        <w:rPr>
          <w:rFonts w:eastAsia="仿宋_GB2312"/>
          <w:kern w:val="0"/>
          <w:sz w:val="32"/>
          <w:szCs w:val="32"/>
        </w:rPr>
        <w:t>祖国</w:t>
      </w:r>
      <w:r>
        <w:rPr>
          <w:rFonts w:hint="eastAsia" w:eastAsia="仿宋_GB2312"/>
          <w:kern w:val="0"/>
          <w:sz w:val="32"/>
          <w:szCs w:val="32"/>
        </w:rPr>
        <w:t>“</w:t>
      </w:r>
      <w:r>
        <w:rPr>
          <w:rFonts w:eastAsia="仿宋_GB2312"/>
          <w:kern w:val="0"/>
          <w:sz w:val="32"/>
          <w:szCs w:val="32"/>
        </w:rPr>
        <w:t>北大门</w:t>
      </w:r>
      <w:r>
        <w:rPr>
          <w:rFonts w:hint="eastAsia" w:eastAsia="仿宋_GB2312"/>
          <w:kern w:val="0"/>
          <w:sz w:val="32"/>
          <w:szCs w:val="32"/>
        </w:rPr>
        <w:t>”</w:t>
      </w:r>
      <w:r>
        <w:rPr>
          <w:rFonts w:eastAsia="仿宋_GB2312"/>
          <w:kern w:val="0"/>
          <w:sz w:val="32"/>
          <w:szCs w:val="32"/>
        </w:rPr>
        <w:t>，为加快建设祖国北疆安全稳定屏障，巩固发展民族团结、社会稳定、边疆稳固、口岸繁荣提供空间保障。</w:t>
      </w:r>
      <w:bookmarkStart w:id="58" w:name="_Toc58050345"/>
      <w:bookmarkStart w:id="59" w:name="_Toc58857408"/>
      <w:bookmarkStart w:id="60" w:name="_Toc58266343"/>
    </w:p>
    <w:p w14:paraId="355BFB22">
      <w:pPr>
        <w:jc w:val="center"/>
        <w:outlineLvl w:val="0"/>
        <w:rPr>
          <w:rFonts w:hint="eastAsia" w:ascii="方正小标宋简体" w:eastAsia="方正小标宋简体"/>
          <w:spacing w:val="-11"/>
          <w:sz w:val="36"/>
          <w:szCs w:val="32"/>
        </w:rPr>
      </w:pPr>
      <w:r>
        <w:rPr>
          <w:rFonts w:eastAsia="方正小标宋_GBK"/>
          <w:spacing w:val="-11"/>
          <w:sz w:val="36"/>
          <w:szCs w:val="32"/>
        </w:rPr>
        <w:br w:type="page"/>
      </w:r>
      <w:bookmarkStart w:id="61" w:name="_Toc155861048"/>
      <w:bookmarkStart w:id="62" w:name="_Toc160715626"/>
      <w:r>
        <w:rPr>
          <w:rFonts w:hint="eastAsia" w:ascii="方正小标宋简体" w:eastAsia="方正小标宋简体"/>
          <w:spacing w:val="-11"/>
          <w:sz w:val="36"/>
          <w:szCs w:val="32"/>
        </w:rPr>
        <w:t>第三章 以“三区三线”为基础，构建</w:t>
      </w:r>
      <w:bookmarkEnd w:id="58"/>
      <w:bookmarkEnd w:id="59"/>
      <w:bookmarkEnd w:id="60"/>
      <w:r>
        <w:rPr>
          <w:rFonts w:hint="eastAsia" w:ascii="方正小标宋简体" w:eastAsia="方正小标宋简体"/>
          <w:spacing w:val="-11"/>
          <w:sz w:val="36"/>
          <w:szCs w:val="32"/>
        </w:rPr>
        <w:t>国土</w:t>
      </w:r>
      <w:bookmarkEnd w:id="61"/>
      <w:bookmarkEnd w:id="62"/>
    </w:p>
    <w:p w14:paraId="67137D33">
      <w:pPr>
        <w:spacing w:after="312" w:afterLines="100" w:line="600" w:lineRule="exact"/>
        <w:jc w:val="center"/>
        <w:outlineLvl w:val="0"/>
        <w:rPr>
          <w:rFonts w:hint="eastAsia" w:ascii="方正小标宋简体" w:eastAsia="方正小标宋简体"/>
          <w:spacing w:val="-11"/>
          <w:sz w:val="36"/>
          <w:szCs w:val="32"/>
        </w:rPr>
      </w:pPr>
      <w:bookmarkStart w:id="63" w:name="_Toc155861049"/>
      <w:bookmarkStart w:id="64" w:name="_Toc160715627"/>
      <w:r>
        <w:rPr>
          <w:rFonts w:hint="eastAsia" w:ascii="方正小标宋简体" w:eastAsia="方正小标宋简体"/>
          <w:spacing w:val="-11"/>
          <w:sz w:val="36"/>
          <w:szCs w:val="32"/>
        </w:rPr>
        <w:t>空间保护开发新格局</w:t>
      </w:r>
      <w:bookmarkEnd w:id="63"/>
      <w:bookmarkEnd w:id="64"/>
    </w:p>
    <w:p w14:paraId="7E587E28">
      <w:pPr>
        <w:spacing w:line="600" w:lineRule="exact"/>
        <w:ind w:firstLine="640" w:firstLineChars="200"/>
        <w:rPr>
          <w:rFonts w:eastAsia="仿宋_GB2312"/>
          <w:kern w:val="0"/>
          <w:sz w:val="32"/>
          <w:szCs w:val="32"/>
        </w:rPr>
      </w:pPr>
      <w:r>
        <w:rPr>
          <w:rFonts w:eastAsia="仿宋_GB2312"/>
          <w:kern w:val="0"/>
          <w:sz w:val="32"/>
          <w:szCs w:val="32"/>
        </w:rPr>
        <w:t>全面落实国家区域协调发展战略、</w:t>
      </w:r>
      <w:r>
        <w:rPr>
          <w:rFonts w:hint="eastAsia" w:eastAsia="仿宋_GB2312"/>
          <w:kern w:val="0"/>
          <w:sz w:val="32"/>
          <w:szCs w:val="32"/>
        </w:rPr>
        <w:t>区域</w:t>
      </w:r>
      <w:r>
        <w:rPr>
          <w:rFonts w:eastAsia="仿宋_GB2312"/>
          <w:kern w:val="0"/>
          <w:sz w:val="32"/>
          <w:szCs w:val="32"/>
        </w:rPr>
        <w:t>重大战略、主体功能区战略，立足内蒙古</w:t>
      </w:r>
      <w:r>
        <w:rPr>
          <w:rFonts w:hint="eastAsia" w:eastAsia="仿宋_GB2312"/>
          <w:kern w:val="0"/>
          <w:sz w:val="32"/>
          <w:szCs w:val="32"/>
        </w:rPr>
        <w:t>自治区</w:t>
      </w:r>
      <w:r>
        <w:rPr>
          <w:rFonts w:eastAsia="仿宋_GB2312"/>
          <w:kern w:val="0"/>
          <w:sz w:val="32"/>
          <w:szCs w:val="32"/>
        </w:rPr>
        <w:t>资源环境承载能力和国土空间开发适宜性，统筹划定耕地和永久基本农田、生态保护红线、城镇开发边界三条控制线，优化农牧、生态、城镇空间，推进全域生态保护，构建</w:t>
      </w:r>
      <w:r>
        <w:rPr>
          <w:rFonts w:hint="eastAsia" w:eastAsia="仿宋_GB2312"/>
          <w:kern w:val="0"/>
          <w:sz w:val="32"/>
          <w:szCs w:val="32"/>
        </w:rPr>
        <w:t>“</w:t>
      </w:r>
      <w:r>
        <w:rPr>
          <w:rFonts w:eastAsia="仿宋_GB2312"/>
          <w:kern w:val="0"/>
          <w:sz w:val="32"/>
          <w:szCs w:val="32"/>
        </w:rPr>
        <w:t>三山一弯，两带十区，一核双星多点</w:t>
      </w:r>
      <w:r>
        <w:rPr>
          <w:rFonts w:hint="eastAsia" w:eastAsia="仿宋_GB2312"/>
          <w:kern w:val="0"/>
          <w:sz w:val="32"/>
          <w:szCs w:val="32"/>
        </w:rPr>
        <w:t>”</w:t>
      </w:r>
      <w:r>
        <w:rPr>
          <w:rFonts w:eastAsia="仿宋_GB2312"/>
          <w:kern w:val="0"/>
          <w:sz w:val="32"/>
          <w:szCs w:val="32"/>
        </w:rPr>
        <w:t>网络化的国土空间保护开发总体布局。</w:t>
      </w:r>
    </w:p>
    <w:p w14:paraId="0620F248">
      <w:pPr>
        <w:pStyle w:val="3"/>
        <w:spacing w:before="156" w:beforeLines="50" w:after="156" w:afterLines="50" w:line="600" w:lineRule="exact"/>
        <w:rPr>
          <w:rFonts w:ascii="Times New Roman" w:hAnsi="Times New Roman"/>
          <w:b w:val="0"/>
          <w:bCs w:val="0"/>
        </w:rPr>
      </w:pPr>
      <w:bookmarkStart w:id="65" w:name="_Toc160715628"/>
      <w:bookmarkStart w:id="66" w:name="_Toc155861050"/>
      <w:r>
        <w:rPr>
          <w:rFonts w:ascii="Times New Roman" w:hAnsi="Times New Roman"/>
          <w:b w:val="0"/>
          <w:bCs w:val="0"/>
        </w:rPr>
        <w:t>第一节 严守三条控制线</w:t>
      </w:r>
      <w:bookmarkEnd w:id="65"/>
      <w:bookmarkEnd w:id="66"/>
    </w:p>
    <w:p w14:paraId="604B04CB">
      <w:pPr>
        <w:spacing w:line="600" w:lineRule="exact"/>
        <w:ind w:firstLine="640" w:firstLineChars="200"/>
        <w:rPr>
          <w:rFonts w:eastAsia="仿宋_GB2312"/>
          <w:kern w:val="0"/>
          <w:sz w:val="32"/>
          <w:szCs w:val="32"/>
        </w:rPr>
      </w:pPr>
      <w:r>
        <w:rPr>
          <w:rFonts w:eastAsia="楷体_GB2312"/>
          <w:bCs/>
          <w:kern w:val="0"/>
          <w:sz w:val="32"/>
          <w:szCs w:val="32"/>
        </w:rPr>
        <w:t>耕地和永久基本农田保护红线。</w:t>
      </w:r>
      <w:r>
        <w:rPr>
          <w:rFonts w:eastAsia="仿宋_GB2312"/>
          <w:kern w:val="0"/>
          <w:sz w:val="32"/>
          <w:szCs w:val="32"/>
        </w:rPr>
        <w:t>按照国家</w:t>
      </w:r>
      <w:r>
        <w:rPr>
          <w:rFonts w:hint="eastAsia" w:eastAsia="仿宋_GB2312"/>
          <w:kern w:val="0"/>
          <w:sz w:val="32"/>
          <w:szCs w:val="32"/>
        </w:rPr>
        <w:t>“</w:t>
      </w:r>
      <w:r>
        <w:rPr>
          <w:rFonts w:eastAsia="仿宋_GB2312"/>
          <w:kern w:val="0"/>
          <w:sz w:val="32"/>
          <w:szCs w:val="32"/>
        </w:rPr>
        <w:t>三区三线</w:t>
      </w:r>
      <w:r>
        <w:rPr>
          <w:rFonts w:hint="eastAsia" w:eastAsia="仿宋_GB2312"/>
          <w:kern w:val="0"/>
          <w:sz w:val="32"/>
          <w:szCs w:val="32"/>
        </w:rPr>
        <w:t>”</w:t>
      </w:r>
      <w:r>
        <w:rPr>
          <w:rFonts w:eastAsia="仿宋_GB2312"/>
          <w:kern w:val="0"/>
          <w:sz w:val="32"/>
          <w:szCs w:val="32"/>
        </w:rPr>
        <w:t>划定规则，</w:t>
      </w:r>
      <w:r>
        <w:rPr>
          <w:rFonts w:hint="eastAsia" w:eastAsia="仿宋_GB2312"/>
          <w:kern w:val="0"/>
          <w:sz w:val="32"/>
          <w:szCs w:val="32"/>
        </w:rPr>
        <w:t>内蒙古自治区</w:t>
      </w:r>
      <w:r>
        <w:rPr>
          <w:rFonts w:eastAsia="仿宋_GB2312"/>
          <w:kern w:val="0"/>
          <w:sz w:val="32"/>
          <w:szCs w:val="32"/>
        </w:rPr>
        <w:t>划定耕地</w:t>
      </w:r>
      <w:r>
        <w:rPr>
          <w:rFonts w:hint="eastAsia" w:eastAsia="仿宋_GB2312"/>
          <w:kern w:val="0"/>
          <w:sz w:val="32"/>
          <w:szCs w:val="32"/>
        </w:rPr>
        <w:t>和</w:t>
      </w:r>
      <w:r>
        <w:rPr>
          <w:rFonts w:eastAsia="仿宋_GB2312"/>
          <w:kern w:val="0"/>
          <w:sz w:val="32"/>
          <w:szCs w:val="32"/>
        </w:rPr>
        <w:t>永久基本农田</w:t>
      </w:r>
      <w:r>
        <w:rPr>
          <w:rFonts w:hint="eastAsia" w:eastAsia="仿宋_GB2312"/>
          <w:kern w:val="0"/>
          <w:sz w:val="32"/>
          <w:szCs w:val="32"/>
        </w:rPr>
        <w:t>保护红线</w:t>
      </w:r>
      <w:r>
        <w:rPr>
          <w:rFonts w:eastAsia="仿宋_GB2312"/>
          <w:kern w:val="0"/>
          <w:sz w:val="32"/>
          <w:szCs w:val="32"/>
        </w:rPr>
        <w:t>涉及</w:t>
      </w:r>
      <w:r>
        <w:rPr>
          <w:rFonts w:eastAsia="仿宋_GB2312"/>
          <w:kern w:val="0"/>
          <w:sz w:val="32"/>
          <w:szCs w:val="32"/>
          <w:highlight w:val="none"/>
        </w:rPr>
        <w:t>12</w:t>
      </w:r>
      <w:r>
        <w:rPr>
          <w:rFonts w:hint="eastAsia" w:eastAsia="仿宋_GB2312"/>
          <w:kern w:val="0"/>
          <w:sz w:val="32"/>
          <w:szCs w:val="32"/>
          <w:highlight w:val="none"/>
        </w:rPr>
        <w:t>个</w:t>
      </w:r>
      <w:r>
        <w:rPr>
          <w:rFonts w:eastAsia="仿宋_GB2312"/>
          <w:kern w:val="0"/>
          <w:sz w:val="32"/>
          <w:szCs w:val="32"/>
          <w:highlight w:val="none"/>
        </w:rPr>
        <w:t>盟市的95个旗县（市、区）。耕地和</w:t>
      </w:r>
      <w:r>
        <w:rPr>
          <w:rFonts w:eastAsia="仿宋_GB2312"/>
          <w:kern w:val="0"/>
          <w:sz w:val="32"/>
          <w:szCs w:val="32"/>
        </w:rPr>
        <w:t>永久基本农田</w:t>
      </w:r>
      <w:r>
        <w:rPr>
          <w:rFonts w:hint="eastAsia" w:eastAsia="仿宋_GB2312"/>
          <w:kern w:val="0"/>
          <w:sz w:val="32"/>
          <w:szCs w:val="32"/>
        </w:rPr>
        <w:t>保护红线</w:t>
      </w:r>
      <w:r>
        <w:rPr>
          <w:rFonts w:eastAsia="仿宋_GB2312"/>
          <w:kern w:val="0"/>
          <w:sz w:val="32"/>
          <w:szCs w:val="32"/>
        </w:rPr>
        <w:t>一经划定，未经批准不得擅自调整，优先保护城市周边永久基本农田和优质耕地，严格实施耕地用途管制，严格落实耕地占补平衡，严格控制耕地转为其他农用地，牢牢守住耕地和永久基本农田</w:t>
      </w:r>
      <w:r>
        <w:rPr>
          <w:rFonts w:hint="eastAsia" w:eastAsia="仿宋_GB2312"/>
          <w:kern w:val="0"/>
          <w:sz w:val="32"/>
          <w:szCs w:val="32"/>
        </w:rPr>
        <w:t>保护红线，保障国家</w:t>
      </w:r>
      <w:r>
        <w:rPr>
          <w:rFonts w:eastAsia="仿宋_GB2312"/>
          <w:kern w:val="0"/>
          <w:sz w:val="32"/>
          <w:szCs w:val="32"/>
        </w:rPr>
        <w:t>粮食安全。</w:t>
      </w:r>
    </w:p>
    <w:p w14:paraId="451D46BC">
      <w:pPr>
        <w:spacing w:line="600" w:lineRule="exact"/>
        <w:ind w:firstLine="640" w:firstLineChars="200"/>
        <w:rPr>
          <w:rFonts w:eastAsia="仿宋_GB2312"/>
          <w:kern w:val="0"/>
          <w:sz w:val="32"/>
          <w:szCs w:val="32"/>
        </w:rPr>
      </w:pPr>
      <w:r>
        <w:rPr>
          <w:rFonts w:eastAsia="楷体_GB2312"/>
          <w:bCs/>
          <w:kern w:val="0"/>
          <w:sz w:val="32"/>
          <w:szCs w:val="32"/>
        </w:rPr>
        <w:t>生态保护红线。</w:t>
      </w:r>
      <w:r>
        <w:rPr>
          <w:rFonts w:eastAsia="仿宋_GB2312"/>
          <w:kern w:val="0"/>
          <w:sz w:val="32"/>
          <w:szCs w:val="32"/>
        </w:rPr>
        <w:t>将重要水源涵养、生物多样性维护、水土保持、防风固沙等生态功能极重要区域，以及生态极敏感脆弱的水土流失、沙化等区域划入生态保护红线，保护好重要的森林、草原、湿地、荒漠等生态系统，维护生态安全。</w:t>
      </w:r>
      <w:r>
        <w:rPr>
          <w:rFonts w:hint="eastAsia" w:eastAsia="仿宋_GB2312"/>
          <w:kern w:val="0"/>
          <w:sz w:val="32"/>
          <w:szCs w:val="32"/>
        </w:rPr>
        <w:t>内蒙古自治区</w:t>
      </w:r>
      <w:r>
        <w:rPr>
          <w:rFonts w:eastAsia="仿宋_GB2312"/>
          <w:kern w:val="0"/>
          <w:sz w:val="32"/>
          <w:szCs w:val="32"/>
        </w:rPr>
        <w:t>划定生态保护红线</w:t>
      </w:r>
      <w:r>
        <w:rPr>
          <w:rFonts w:hint="eastAsia" w:eastAsia="仿宋_GB2312"/>
          <w:kern w:val="0"/>
          <w:sz w:val="32"/>
          <w:szCs w:val="32"/>
        </w:rPr>
        <w:t>面积</w:t>
      </w:r>
      <w:r>
        <w:rPr>
          <w:rFonts w:eastAsia="仿宋_GB2312"/>
          <w:kern w:val="0"/>
          <w:sz w:val="32"/>
          <w:szCs w:val="32"/>
        </w:rPr>
        <w:t>59.69万平方</w:t>
      </w:r>
      <w:r>
        <w:rPr>
          <w:rFonts w:eastAsia="仿宋_GB2312"/>
          <w:kern w:val="0"/>
          <w:sz w:val="32"/>
          <w:szCs w:val="32"/>
          <w:highlight w:val="none"/>
        </w:rPr>
        <w:t>千米，主要分布在呼伦贝尔市、锡林郭勒盟、阿拉善盟</w:t>
      </w:r>
      <w:r>
        <w:rPr>
          <w:rFonts w:hint="eastAsia" w:eastAsia="仿宋_GB2312"/>
          <w:kern w:val="0"/>
          <w:sz w:val="32"/>
          <w:szCs w:val="32"/>
          <w:highlight w:val="none"/>
        </w:rPr>
        <w:t>、</w:t>
      </w:r>
      <w:r>
        <w:rPr>
          <w:rFonts w:eastAsia="仿宋_GB2312"/>
          <w:kern w:val="0"/>
          <w:sz w:val="32"/>
          <w:szCs w:val="32"/>
          <w:highlight w:val="none"/>
        </w:rPr>
        <w:t>巴彦淖尔市和兴安盟。</w:t>
      </w:r>
      <w:bookmarkStart w:id="67" w:name="_Toc28162742"/>
      <w:r>
        <w:rPr>
          <w:rFonts w:eastAsia="仿宋_GB2312"/>
          <w:kern w:val="0"/>
          <w:sz w:val="32"/>
          <w:szCs w:val="32"/>
          <w:highlight w:val="none"/>
        </w:rPr>
        <w:t>生态保护红线是保障和维护国家生态安全的底线和生命线，一经划定，必须严格保护和监管。严格控制</w:t>
      </w:r>
      <w:r>
        <w:rPr>
          <w:rFonts w:eastAsia="仿宋_GB2312"/>
          <w:kern w:val="0"/>
          <w:sz w:val="32"/>
          <w:szCs w:val="32"/>
        </w:rPr>
        <w:t>人为活动尤其是开发建设对生态系统的破坏和扰动，增强水源涵养、水土保持、防风固沙、生物多样性等生态系统服务功能，注重城市化地区重要生态空间保护，严守自然生态安全边界。加强以生态保护红线为核心的自然生态空间整体保护和合理利用，提升生态系统质量和稳定性，提供优质生态产品</w:t>
      </w:r>
      <w:bookmarkEnd w:id="67"/>
      <w:r>
        <w:rPr>
          <w:rFonts w:eastAsia="仿宋_GB2312"/>
          <w:kern w:val="0"/>
          <w:sz w:val="32"/>
          <w:szCs w:val="32"/>
        </w:rPr>
        <w:t>。</w:t>
      </w:r>
    </w:p>
    <w:p w14:paraId="06EF58A1">
      <w:pPr>
        <w:spacing w:line="600" w:lineRule="exact"/>
        <w:ind w:firstLine="640" w:firstLineChars="200"/>
        <w:rPr>
          <w:rFonts w:eastAsia="仿宋_GB2312"/>
          <w:kern w:val="0"/>
          <w:sz w:val="32"/>
          <w:szCs w:val="32"/>
        </w:rPr>
      </w:pPr>
      <w:r>
        <w:rPr>
          <w:rFonts w:eastAsia="楷体_GB2312"/>
          <w:bCs/>
          <w:kern w:val="0"/>
          <w:sz w:val="32"/>
          <w:szCs w:val="32"/>
        </w:rPr>
        <w:t>城镇开发边界。</w:t>
      </w:r>
      <w:r>
        <w:rPr>
          <w:rFonts w:eastAsia="仿宋_GB2312"/>
          <w:kern w:val="0"/>
          <w:sz w:val="32"/>
          <w:szCs w:val="32"/>
        </w:rPr>
        <w:t>在优先划定耕地和永久基本农田、生态保护红线的基础上，划定城镇开发边界，</w:t>
      </w:r>
      <w:r>
        <w:rPr>
          <w:rFonts w:hint="eastAsia" w:eastAsia="仿宋_GB2312"/>
          <w:kern w:val="0"/>
          <w:sz w:val="32"/>
          <w:szCs w:val="32"/>
        </w:rPr>
        <w:t>内蒙古自治区</w:t>
      </w:r>
      <w:r>
        <w:rPr>
          <w:rFonts w:eastAsia="仿宋_GB2312"/>
          <w:kern w:val="0"/>
          <w:sz w:val="32"/>
          <w:szCs w:val="32"/>
        </w:rPr>
        <w:t>城镇开发边界面积控制在2020年现状城镇建设用地规模的1.3倍以内。严格城镇开发边界管控，城镇开发边界外不得进行城镇集中建设，禁止违规建设新城、新区及各类开发区，有序推进开发边界内工业化、城镇化内涵式发展，强化城镇集中建设区管控，注重新城区建设与存量改造相结合，引导人口向城镇集中、工业向开发区集中，推进城镇、产业集中集聚集约发展。城镇开发边界内的现状建成区、规划集中连片的城镇建设区</w:t>
      </w:r>
      <w:r>
        <w:rPr>
          <w:rFonts w:hint="eastAsia" w:eastAsia="仿宋_GB2312"/>
          <w:kern w:val="0"/>
          <w:sz w:val="32"/>
          <w:szCs w:val="32"/>
        </w:rPr>
        <w:t>、</w:t>
      </w:r>
      <w:r>
        <w:rPr>
          <w:rFonts w:eastAsia="仿宋_GB2312"/>
          <w:kern w:val="0"/>
          <w:sz w:val="32"/>
          <w:szCs w:val="32"/>
        </w:rPr>
        <w:t>城中村和城边村、依法合规设立的开发区等应划入城镇集中建设区，重点保障生产生活生态和安全空间需求；在城镇集中建设区外可划定弹性发展区，重点应对城镇发展的不确定性；有条件的城镇</w:t>
      </w:r>
      <w:r>
        <w:rPr>
          <w:rFonts w:hint="eastAsia" w:eastAsia="仿宋_GB2312"/>
          <w:kern w:val="0"/>
          <w:sz w:val="32"/>
          <w:szCs w:val="32"/>
        </w:rPr>
        <w:t>划定</w:t>
      </w:r>
      <w:r>
        <w:rPr>
          <w:rFonts w:eastAsia="仿宋_GB2312"/>
          <w:kern w:val="0"/>
          <w:sz w:val="32"/>
          <w:szCs w:val="32"/>
        </w:rPr>
        <w:t>特别用途区。城镇开发边界内实施战略留白，为长远发展谋划预留战略空间，促进城镇</w:t>
      </w:r>
      <w:r>
        <w:rPr>
          <w:rFonts w:hint="eastAsia" w:eastAsia="仿宋_GB2312"/>
          <w:kern w:val="0"/>
          <w:sz w:val="32"/>
          <w:szCs w:val="32"/>
        </w:rPr>
        <w:t>空间与</w:t>
      </w:r>
      <w:r>
        <w:rPr>
          <w:rFonts w:eastAsia="仿宋_GB2312"/>
          <w:kern w:val="0"/>
          <w:sz w:val="32"/>
          <w:szCs w:val="32"/>
        </w:rPr>
        <w:t>农</w:t>
      </w:r>
      <w:r>
        <w:rPr>
          <w:rFonts w:hint="eastAsia" w:eastAsia="仿宋_GB2312"/>
          <w:kern w:val="0"/>
          <w:sz w:val="32"/>
          <w:szCs w:val="32"/>
        </w:rPr>
        <w:t>牧</w:t>
      </w:r>
      <w:r>
        <w:rPr>
          <w:rFonts w:eastAsia="仿宋_GB2312"/>
          <w:kern w:val="0"/>
          <w:sz w:val="32"/>
          <w:szCs w:val="32"/>
        </w:rPr>
        <w:t>空间、生态空间有机融合。新增城镇建设用地应当避让地质灾害高风险区等不适宜建设区域，在地质灾害易发区进行城市、村镇规划和工程建设时，必须开展地质灾害危险性评估，提高地质灾害防治能力。</w:t>
      </w:r>
    </w:p>
    <w:p w14:paraId="3DF18D48">
      <w:pPr>
        <w:pStyle w:val="3"/>
        <w:spacing w:before="156" w:beforeLines="50" w:after="156" w:afterLines="50" w:line="600" w:lineRule="exact"/>
        <w:rPr>
          <w:rFonts w:ascii="Times New Roman" w:hAnsi="Times New Roman"/>
          <w:b w:val="0"/>
          <w:bCs w:val="0"/>
        </w:rPr>
      </w:pPr>
      <w:bookmarkStart w:id="68" w:name="_Toc160715629"/>
      <w:bookmarkStart w:id="69" w:name="_Toc155861051"/>
      <w:r>
        <w:rPr>
          <w:rFonts w:ascii="Times New Roman" w:hAnsi="Times New Roman"/>
          <w:b w:val="0"/>
          <w:bCs w:val="0"/>
        </w:rPr>
        <w:t>第二节 优化主体功能区</w:t>
      </w:r>
      <w:bookmarkEnd w:id="68"/>
      <w:bookmarkEnd w:id="69"/>
      <w:bookmarkStart w:id="70" w:name="OLE_LINK8"/>
    </w:p>
    <w:p w14:paraId="1D6217E2">
      <w:pPr>
        <w:spacing w:line="600" w:lineRule="exact"/>
        <w:ind w:firstLine="640" w:firstLineChars="200"/>
        <w:rPr>
          <w:rFonts w:eastAsia="仿宋_GB2312"/>
          <w:kern w:val="0"/>
          <w:sz w:val="32"/>
          <w:szCs w:val="32"/>
        </w:rPr>
      </w:pPr>
      <w:r>
        <w:rPr>
          <w:rFonts w:eastAsia="楷体_GB2312"/>
          <w:bCs/>
          <w:kern w:val="0"/>
          <w:sz w:val="32"/>
          <w:szCs w:val="32"/>
        </w:rPr>
        <w:t>完善农产品主产区。</w:t>
      </w:r>
      <w:r>
        <w:rPr>
          <w:rFonts w:eastAsia="仿宋_GB2312"/>
          <w:kern w:val="0"/>
          <w:sz w:val="32"/>
          <w:szCs w:val="32"/>
        </w:rPr>
        <w:t>立足资源环境禀赋和农牧业发展条件，优化农产品主产区，确定土默特右旗、巴林左旗、林西县、敖汉旗、五原县、磴口县、乌拉特前旗、杭锦后旗、凉城县、科尔沁右翼前旗、扎赉特旗、突泉县、莫力达瓦达斡尔族自治旗为国家级农产品主产区，确定喀喇沁旗、卓资县、商都县、兴和县、察哈尔右翼前旗为自治区级农产品主产区。巩固农产品主产区空间格局，保障国家粮食安全和重要农产品供给，加强生态环境保护建设，推进绿色兴农兴牧、发展现代化农牧业。发挥大兴安岭沿麓、西辽河流域、阴山沿麓、沿黄干流平原农牧区农产品供给优势，推动实施乡村振兴战略，强化支农惠农政策，健全耕地保护补偿制度，发挥农产品主产区优势，加强高标准农田建设，加快农业基础设施建设，维护农产品主产区功能的稳定，建设国家</w:t>
      </w:r>
      <w:r>
        <w:rPr>
          <w:rFonts w:hint="eastAsia" w:eastAsia="仿宋_GB2312"/>
          <w:kern w:val="0"/>
          <w:sz w:val="32"/>
          <w:szCs w:val="32"/>
        </w:rPr>
        <w:t>重要</w:t>
      </w:r>
      <w:r>
        <w:rPr>
          <w:rFonts w:eastAsia="仿宋_GB2312"/>
          <w:kern w:val="0"/>
          <w:sz w:val="32"/>
          <w:szCs w:val="32"/>
        </w:rPr>
        <w:t>农畜产品生产基地</w:t>
      </w:r>
      <w:r>
        <w:rPr>
          <w:rFonts w:hint="eastAsia" w:eastAsia="仿宋_GB2312"/>
          <w:kern w:val="0"/>
          <w:sz w:val="32"/>
          <w:szCs w:val="32"/>
        </w:rPr>
        <w:t>，</w:t>
      </w:r>
      <w:r>
        <w:rPr>
          <w:rFonts w:eastAsia="仿宋_GB2312"/>
          <w:kern w:val="0"/>
          <w:sz w:val="32"/>
          <w:szCs w:val="32"/>
        </w:rPr>
        <w:t>禁止开展大规模高强度工业化城市化开发。</w:t>
      </w:r>
    </w:p>
    <w:p w14:paraId="7563C1FD">
      <w:pPr>
        <w:spacing w:line="600" w:lineRule="exact"/>
        <w:ind w:firstLine="640" w:firstLineChars="200"/>
        <w:rPr>
          <w:rFonts w:eastAsia="仿宋_GB2312"/>
          <w:kern w:val="0"/>
          <w:sz w:val="32"/>
          <w:szCs w:val="32"/>
        </w:rPr>
      </w:pPr>
      <w:r>
        <w:rPr>
          <w:rFonts w:eastAsia="楷体_GB2312"/>
          <w:bCs/>
          <w:kern w:val="0"/>
          <w:sz w:val="32"/>
          <w:szCs w:val="32"/>
        </w:rPr>
        <w:t>优化重点生态功能区。</w:t>
      </w:r>
      <w:r>
        <w:rPr>
          <w:rFonts w:eastAsia="仿宋_GB2312"/>
          <w:kern w:val="0"/>
          <w:sz w:val="32"/>
          <w:szCs w:val="32"/>
        </w:rPr>
        <w:t>立足自然条件和资源禀赋，以生态系统的完整性和连通性为基础，优化重点生</w:t>
      </w:r>
      <w:r>
        <w:rPr>
          <w:rFonts w:eastAsia="仿宋_GB2312"/>
          <w:bCs/>
          <w:kern w:val="0"/>
          <w:sz w:val="32"/>
          <w:szCs w:val="32"/>
        </w:rPr>
        <w:t>态</w:t>
      </w:r>
      <w:r>
        <w:rPr>
          <w:rFonts w:eastAsia="仿宋_GB2312"/>
          <w:bCs/>
          <w:kern w:val="0"/>
          <w:sz w:val="32"/>
          <w:szCs w:val="32"/>
          <w:highlight w:val="none"/>
        </w:rPr>
        <w:t>功能区</w:t>
      </w:r>
      <w:r>
        <w:rPr>
          <w:rFonts w:eastAsia="仿宋_GB2312"/>
          <w:kern w:val="0"/>
          <w:sz w:val="32"/>
          <w:szCs w:val="32"/>
          <w:highlight w:val="none"/>
        </w:rPr>
        <w:t>，确定清水河县、固阳县、达尔罕茂明安联合旗、阿鲁科尔沁旗、巴林右旗等42个旗县</w:t>
      </w:r>
      <w:r>
        <w:rPr>
          <w:rFonts w:hint="eastAsia" w:eastAsia="仿宋_GB2312"/>
          <w:kern w:val="0"/>
          <w:sz w:val="32"/>
          <w:szCs w:val="32"/>
          <w:highlight w:val="none"/>
        </w:rPr>
        <w:t>（市、区）</w:t>
      </w:r>
      <w:r>
        <w:rPr>
          <w:rFonts w:eastAsia="仿宋_GB2312"/>
          <w:kern w:val="0"/>
          <w:sz w:val="32"/>
          <w:szCs w:val="32"/>
          <w:highlight w:val="none"/>
        </w:rPr>
        <w:t>为国家级重点生态功能区，陈巴尔虎旗、鄂温克族自治旗、武川县为自治区级重点生态功能区。筑牢重点生态功能区格局</w:t>
      </w:r>
      <w:r>
        <w:rPr>
          <w:rFonts w:hint="eastAsia" w:eastAsia="仿宋_GB2312"/>
          <w:kern w:val="0"/>
          <w:sz w:val="32"/>
          <w:szCs w:val="32"/>
          <w:highlight w:val="none"/>
        </w:rPr>
        <w:t>，</w:t>
      </w:r>
      <w:r>
        <w:rPr>
          <w:rFonts w:eastAsia="仿宋_GB2312"/>
          <w:kern w:val="0"/>
          <w:sz w:val="32"/>
          <w:szCs w:val="32"/>
          <w:highlight w:val="none"/>
        </w:rPr>
        <w:t>推进山水林田湖草沙一体化保护和</w:t>
      </w:r>
      <w:r>
        <w:rPr>
          <w:rFonts w:eastAsia="仿宋_GB2312"/>
          <w:kern w:val="0"/>
          <w:sz w:val="32"/>
          <w:szCs w:val="32"/>
        </w:rPr>
        <w:t>系统治理，加强黄河重点生态区、北方防沙带、东北森林带生态安全屏障建设，增强大兴安岭、阴山山脉、</w:t>
      </w:r>
      <w:r>
        <w:rPr>
          <w:rFonts w:hint="eastAsia" w:eastAsia="仿宋_GB2312"/>
          <w:kern w:val="0"/>
          <w:sz w:val="32"/>
          <w:szCs w:val="32"/>
        </w:rPr>
        <w:t>贺兰山山</w:t>
      </w:r>
      <w:r>
        <w:rPr>
          <w:rFonts w:eastAsia="仿宋_GB2312"/>
          <w:kern w:val="0"/>
          <w:sz w:val="32"/>
          <w:szCs w:val="32"/>
        </w:rPr>
        <w:t>脉生态廊道功能，加强黄河、西辽河、嫩江等流域水域生态环境保护治理，完善防沙治沙体系，协调好草原畜牧业发展与草原保护的关系，提升生态产品服务功能，保障国家和区域生态安全，推进</w:t>
      </w:r>
      <w:r>
        <w:rPr>
          <w:rFonts w:hint="eastAsia" w:eastAsia="仿宋_GB2312"/>
          <w:kern w:val="0"/>
          <w:sz w:val="32"/>
          <w:szCs w:val="32"/>
        </w:rPr>
        <w:t>内蒙古</w:t>
      </w:r>
      <w:r>
        <w:rPr>
          <w:rFonts w:eastAsia="仿宋_GB2312"/>
          <w:kern w:val="0"/>
          <w:sz w:val="32"/>
          <w:szCs w:val="32"/>
        </w:rPr>
        <w:t>自治区生态修复与绿色发展，优化产业布局，适度发展旅游。建立生态</w:t>
      </w:r>
      <w:r>
        <w:rPr>
          <w:rFonts w:hint="eastAsia" w:eastAsia="仿宋_GB2312"/>
          <w:kern w:val="0"/>
          <w:sz w:val="32"/>
          <w:szCs w:val="32"/>
        </w:rPr>
        <w:t>保护</w:t>
      </w:r>
      <w:r>
        <w:rPr>
          <w:rFonts w:eastAsia="仿宋_GB2312"/>
          <w:kern w:val="0"/>
          <w:sz w:val="32"/>
          <w:szCs w:val="32"/>
        </w:rPr>
        <w:t>补偿机制和地区间横向援助机制，加大生态环境保护对利益损失重点生态功能区补偿力度，引导人口向城市化地区集中，严格生态空间管控，禁止开展大规模高强度工业化城市化开发。</w:t>
      </w:r>
    </w:p>
    <w:p w14:paraId="01069277">
      <w:pPr>
        <w:spacing w:line="600" w:lineRule="exact"/>
        <w:ind w:firstLine="640" w:firstLineChars="200"/>
        <w:rPr>
          <w:rFonts w:eastAsia="仿宋_GB2312"/>
          <w:kern w:val="0"/>
          <w:sz w:val="32"/>
          <w:szCs w:val="32"/>
        </w:rPr>
      </w:pPr>
      <w:r>
        <w:rPr>
          <w:rFonts w:eastAsia="楷体_GB2312"/>
          <w:bCs/>
          <w:kern w:val="0"/>
          <w:sz w:val="32"/>
          <w:szCs w:val="32"/>
        </w:rPr>
        <w:t>优化城市化地区。</w:t>
      </w:r>
      <w:r>
        <w:rPr>
          <w:rFonts w:eastAsia="仿宋_GB2312"/>
          <w:kern w:val="0"/>
          <w:sz w:val="32"/>
          <w:szCs w:val="32"/>
        </w:rPr>
        <w:t>坚持集中集聚集约发展原则，优化城镇空间结构和布局，</w:t>
      </w:r>
      <w:r>
        <w:rPr>
          <w:rFonts w:eastAsia="仿宋_GB2312"/>
          <w:kern w:val="0"/>
          <w:sz w:val="32"/>
          <w:szCs w:val="32"/>
          <w:highlight w:val="none"/>
        </w:rPr>
        <w:t>确定新城区、土默特左旗、昆都仑区、青山区、东胜区、达拉特旗等22个旗县</w:t>
      </w:r>
      <w:r>
        <w:rPr>
          <w:rFonts w:hint="eastAsia" w:eastAsia="仿宋_GB2312"/>
          <w:kern w:val="0"/>
          <w:sz w:val="32"/>
          <w:szCs w:val="32"/>
          <w:highlight w:val="none"/>
        </w:rPr>
        <w:t>（市、区）</w:t>
      </w:r>
      <w:r>
        <w:rPr>
          <w:rFonts w:eastAsia="仿宋_GB2312"/>
          <w:kern w:val="0"/>
          <w:sz w:val="32"/>
          <w:szCs w:val="32"/>
          <w:highlight w:val="none"/>
        </w:rPr>
        <w:t>为国家级城市化地区，海勃湾区、红山区、科尔沁区、海拉尔区、满洲里市等18个旗县</w:t>
      </w:r>
      <w:r>
        <w:rPr>
          <w:rFonts w:hint="eastAsia" w:eastAsia="仿宋_GB2312"/>
          <w:kern w:val="0"/>
          <w:sz w:val="32"/>
          <w:szCs w:val="32"/>
          <w:highlight w:val="none"/>
        </w:rPr>
        <w:t>（市、区）</w:t>
      </w:r>
      <w:r>
        <w:rPr>
          <w:rFonts w:eastAsia="仿宋_GB2312"/>
          <w:kern w:val="0"/>
          <w:sz w:val="32"/>
          <w:szCs w:val="32"/>
          <w:highlight w:val="none"/>
        </w:rPr>
        <w:t>为自治区级城市化地区。统筹城市化地区发展</w:t>
      </w:r>
      <w:r>
        <w:rPr>
          <w:rFonts w:hint="eastAsia" w:eastAsia="仿宋_GB2312"/>
          <w:kern w:val="0"/>
          <w:sz w:val="32"/>
          <w:szCs w:val="32"/>
          <w:highlight w:val="none"/>
        </w:rPr>
        <w:t>，</w:t>
      </w:r>
      <w:r>
        <w:rPr>
          <w:rFonts w:eastAsia="仿宋_GB2312"/>
          <w:kern w:val="0"/>
          <w:sz w:val="32"/>
          <w:szCs w:val="32"/>
          <w:highlight w:val="none"/>
        </w:rPr>
        <w:t>依托呼包鄂榆城市群建设，强化</w:t>
      </w:r>
      <w:r>
        <w:rPr>
          <w:rFonts w:eastAsia="仿宋_GB2312"/>
          <w:sz w:val="32"/>
          <w:szCs w:val="32"/>
          <w:highlight w:val="none"/>
        </w:rPr>
        <w:t>呼包鄂乌一体化发展区域</w:t>
      </w:r>
      <w:r>
        <w:rPr>
          <w:rFonts w:eastAsia="仿宋_GB2312"/>
          <w:kern w:val="0"/>
          <w:sz w:val="32"/>
          <w:szCs w:val="32"/>
          <w:highlight w:val="none"/>
        </w:rPr>
        <w:t>的引领作用，打造向北开放战略支点，推动</w:t>
      </w:r>
      <w:r>
        <w:rPr>
          <w:rFonts w:hint="eastAsia" w:eastAsia="仿宋_GB2312"/>
          <w:kern w:val="0"/>
          <w:sz w:val="32"/>
          <w:szCs w:val="32"/>
          <w:highlight w:val="none"/>
        </w:rPr>
        <w:t>赤</w:t>
      </w:r>
      <w:r>
        <w:rPr>
          <w:rFonts w:hint="eastAsia" w:eastAsia="仿宋_GB2312"/>
          <w:kern w:val="0"/>
          <w:sz w:val="32"/>
          <w:szCs w:val="32"/>
        </w:rPr>
        <w:t>峰市、通辽市</w:t>
      </w:r>
      <w:r>
        <w:rPr>
          <w:rFonts w:eastAsia="仿宋_GB2312"/>
          <w:kern w:val="0"/>
          <w:sz w:val="32"/>
          <w:szCs w:val="32"/>
        </w:rPr>
        <w:t>发展成为带动</w:t>
      </w:r>
      <w:r>
        <w:rPr>
          <w:rFonts w:hint="eastAsia" w:eastAsia="仿宋_GB2312"/>
          <w:kern w:val="0"/>
          <w:sz w:val="32"/>
          <w:szCs w:val="32"/>
        </w:rPr>
        <w:t>内蒙古自治区</w:t>
      </w:r>
      <w:r>
        <w:rPr>
          <w:rFonts w:eastAsia="仿宋_GB2312"/>
          <w:kern w:val="0"/>
          <w:sz w:val="32"/>
          <w:szCs w:val="32"/>
        </w:rPr>
        <w:t>东部地区高质量发展的区域性中心城市，协调推进中心城市、中心城镇多节点式发展，完善满洲里</w:t>
      </w:r>
      <w:r>
        <w:rPr>
          <w:rFonts w:hint="eastAsia" w:eastAsia="仿宋_GB2312"/>
          <w:kern w:val="0"/>
          <w:sz w:val="32"/>
          <w:szCs w:val="32"/>
        </w:rPr>
        <w:t>市</w:t>
      </w:r>
      <w:r>
        <w:rPr>
          <w:rFonts w:eastAsia="仿宋_GB2312"/>
          <w:kern w:val="0"/>
          <w:sz w:val="32"/>
          <w:szCs w:val="32"/>
        </w:rPr>
        <w:t>、二连浩特</w:t>
      </w:r>
      <w:r>
        <w:rPr>
          <w:rFonts w:hint="eastAsia" w:eastAsia="仿宋_GB2312"/>
          <w:kern w:val="0"/>
          <w:sz w:val="32"/>
          <w:szCs w:val="32"/>
        </w:rPr>
        <w:t>市</w:t>
      </w:r>
      <w:r>
        <w:rPr>
          <w:rFonts w:eastAsia="仿宋_GB2312"/>
          <w:kern w:val="0"/>
          <w:sz w:val="32"/>
          <w:szCs w:val="32"/>
        </w:rPr>
        <w:t>等重点边境口岸城镇建设。健全城市化地区迁入人口教育、就业、医疗、社会保障、住房保障体系，切实保障迁入人口享有均等基本公共服务和同等权益，推进以人为中心的新型城镇化，建设国家</w:t>
      </w:r>
      <w:r>
        <w:rPr>
          <w:rFonts w:hint="eastAsia" w:eastAsia="仿宋_GB2312"/>
          <w:kern w:val="0"/>
          <w:sz w:val="32"/>
          <w:szCs w:val="32"/>
        </w:rPr>
        <w:t>重要</w:t>
      </w:r>
      <w:r>
        <w:rPr>
          <w:rFonts w:eastAsia="仿宋_GB2312"/>
          <w:kern w:val="0"/>
          <w:sz w:val="32"/>
          <w:szCs w:val="32"/>
        </w:rPr>
        <w:t>能源和</w:t>
      </w:r>
      <w:r>
        <w:rPr>
          <w:rFonts w:hint="eastAsia" w:eastAsia="仿宋_GB2312"/>
          <w:kern w:val="0"/>
          <w:sz w:val="32"/>
          <w:szCs w:val="32"/>
        </w:rPr>
        <w:t>战略</w:t>
      </w:r>
      <w:r>
        <w:rPr>
          <w:rFonts w:eastAsia="仿宋_GB2312"/>
          <w:kern w:val="0"/>
          <w:sz w:val="32"/>
          <w:szCs w:val="32"/>
        </w:rPr>
        <w:t>资源基地，逐步形成区域协同、集聚发展、城镇功能显著的空间格局。</w:t>
      </w:r>
    </w:p>
    <w:p w14:paraId="5F7CBE4E">
      <w:pPr>
        <w:spacing w:line="600" w:lineRule="exact"/>
        <w:ind w:firstLine="640" w:firstLineChars="200"/>
        <w:rPr>
          <w:rFonts w:eastAsia="仿宋_GB2312"/>
          <w:kern w:val="0"/>
          <w:sz w:val="32"/>
          <w:szCs w:val="32"/>
        </w:rPr>
      </w:pPr>
      <w:r>
        <w:rPr>
          <w:rFonts w:eastAsia="楷体_GB2312"/>
          <w:sz w:val="32"/>
          <w:szCs w:val="32"/>
        </w:rPr>
        <w:t>细化主体功能区划分。</w:t>
      </w:r>
      <w:r>
        <w:rPr>
          <w:rFonts w:eastAsia="仿宋_GB2312"/>
          <w:kern w:val="0"/>
          <w:sz w:val="32"/>
          <w:szCs w:val="32"/>
        </w:rPr>
        <w:t>立足内蒙古</w:t>
      </w:r>
      <w:r>
        <w:rPr>
          <w:rFonts w:hint="eastAsia" w:eastAsia="仿宋_GB2312"/>
          <w:kern w:val="0"/>
          <w:sz w:val="32"/>
          <w:szCs w:val="32"/>
        </w:rPr>
        <w:t>自治区</w:t>
      </w:r>
      <w:r>
        <w:rPr>
          <w:rFonts w:eastAsia="仿宋_GB2312"/>
          <w:kern w:val="0"/>
          <w:sz w:val="32"/>
          <w:szCs w:val="32"/>
        </w:rPr>
        <w:t>资源禀赋和经济社会发展实际，统筹保障能源安全、边疆安全和文化安全，在农产品主产区、重点生态功能区、城市化地区基础上，叠加确定能源资源富集区、边境地区和历史文化资源富集区。</w:t>
      </w:r>
    </w:p>
    <w:p w14:paraId="07D25552">
      <w:pPr>
        <w:pStyle w:val="27"/>
        <w:spacing w:after="0" w:line="600" w:lineRule="exact"/>
        <w:ind w:left="0" w:leftChars="0" w:firstLine="640" w:firstLineChars="200"/>
        <w:rPr>
          <w:rFonts w:eastAsia="仿宋_GB2312"/>
          <w:kern w:val="0"/>
          <w:sz w:val="32"/>
          <w:szCs w:val="32"/>
        </w:rPr>
      </w:pPr>
      <w:bookmarkStart w:id="71" w:name="OLE_LINK3"/>
      <w:r>
        <w:rPr>
          <w:rFonts w:eastAsia="仿宋_GB2312"/>
          <w:kern w:val="0"/>
          <w:sz w:val="32"/>
          <w:szCs w:val="32"/>
        </w:rPr>
        <w:t>能源资源富集区。</w:t>
      </w:r>
      <w:bookmarkEnd w:id="71"/>
      <w:bookmarkStart w:id="72" w:name="OLE_LINK4"/>
      <w:r>
        <w:rPr>
          <w:rFonts w:eastAsia="仿宋_GB2312"/>
          <w:kern w:val="0"/>
          <w:sz w:val="32"/>
          <w:szCs w:val="32"/>
        </w:rPr>
        <w:t>在充分衔接耕地和永久基本农田、生态保护红线的基础上，划分能源资源基地、国家规划矿区、重点勘查开采区和矿产资源保护区。推进煤炭、稀土、金属、晶质石墨等能源资源基地区产业集聚发展，强化国家规划矿区空间保障能力，优化资源配置，推动优质资源规模开发</w:t>
      </w:r>
      <w:r>
        <w:rPr>
          <w:rFonts w:hint="eastAsia" w:eastAsia="仿宋_GB2312"/>
          <w:kern w:val="0"/>
          <w:sz w:val="32"/>
          <w:szCs w:val="32"/>
        </w:rPr>
        <w:t>和</w:t>
      </w:r>
      <w:r>
        <w:rPr>
          <w:rFonts w:eastAsia="仿宋_GB2312"/>
          <w:kern w:val="0"/>
          <w:sz w:val="32"/>
          <w:szCs w:val="32"/>
        </w:rPr>
        <w:t>集约利用，推进</w:t>
      </w:r>
      <w:r>
        <w:rPr>
          <w:rFonts w:hint="eastAsia" w:eastAsia="仿宋_GB2312"/>
          <w:kern w:val="0"/>
          <w:sz w:val="32"/>
          <w:szCs w:val="32"/>
        </w:rPr>
        <w:t>额济纳旗</w:t>
      </w:r>
      <w:r>
        <w:rPr>
          <w:rFonts w:eastAsia="仿宋_GB2312"/>
          <w:kern w:val="0"/>
          <w:sz w:val="32"/>
          <w:szCs w:val="32"/>
        </w:rPr>
        <w:t>北山及周边地区、大兴安岭地区、华北地台北缘成矿带重点区域勘查，加强矿产资源保护区保护和管控，建立动态调整机制。</w:t>
      </w:r>
    </w:p>
    <w:bookmarkEnd w:id="72"/>
    <w:p w14:paraId="24745505">
      <w:pPr>
        <w:widowControl/>
        <w:spacing w:line="600" w:lineRule="exact"/>
        <w:ind w:firstLine="640" w:firstLineChars="200"/>
        <w:jc w:val="left"/>
        <w:rPr>
          <w:rFonts w:eastAsia="仿宋_GB2312"/>
          <w:kern w:val="0"/>
          <w:sz w:val="32"/>
          <w:szCs w:val="32"/>
        </w:rPr>
      </w:pPr>
      <w:r>
        <w:rPr>
          <w:rFonts w:eastAsia="仿宋_GB2312"/>
          <w:kern w:val="0"/>
          <w:sz w:val="32"/>
          <w:szCs w:val="32"/>
        </w:rPr>
        <w:t>边境地区。立足地区特色和优势，通过沿边中心城市</w:t>
      </w:r>
      <w:r>
        <w:rPr>
          <w:rFonts w:hint="eastAsia" w:eastAsia="仿宋_GB2312"/>
          <w:kern w:val="0"/>
          <w:sz w:val="32"/>
          <w:szCs w:val="32"/>
        </w:rPr>
        <w:t>-</w:t>
      </w:r>
      <w:r>
        <w:rPr>
          <w:rFonts w:eastAsia="仿宋_GB2312"/>
          <w:kern w:val="0"/>
          <w:sz w:val="32"/>
          <w:szCs w:val="32"/>
        </w:rPr>
        <w:t>口岸城镇</w:t>
      </w:r>
      <w:r>
        <w:rPr>
          <w:rFonts w:hint="eastAsia" w:eastAsia="仿宋_GB2312"/>
          <w:kern w:val="0"/>
          <w:sz w:val="32"/>
          <w:szCs w:val="32"/>
        </w:rPr>
        <w:t>-</w:t>
      </w:r>
      <w:r>
        <w:rPr>
          <w:rFonts w:eastAsia="仿宋_GB2312"/>
          <w:kern w:val="0"/>
          <w:sz w:val="32"/>
          <w:szCs w:val="32"/>
        </w:rPr>
        <w:t>固边嘎查（村）三级组团联动，发展规模化产业，加速完善北部沿边经济带发展</w:t>
      </w:r>
      <w:r>
        <w:rPr>
          <w:rFonts w:eastAsia="仿宋_GB2312"/>
          <w:kern w:val="0"/>
          <w:sz w:val="32"/>
          <w:szCs w:val="32"/>
          <w:highlight w:val="none"/>
        </w:rPr>
        <w:t>布局，以满洲里、二连浩特、甘其毛都、策克</w:t>
      </w:r>
      <w:r>
        <w:rPr>
          <w:rFonts w:hint="eastAsia" w:eastAsia="仿宋_GB2312"/>
          <w:kern w:val="0"/>
          <w:sz w:val="32"/>
          <w:szCs w:val="32"/>
          <w:highlight w:val="none"/>
        </w:rPr>
        <w:t>等</w:t>
      </w:r>
      <w:r>
        <w:rPr>
          <w:rFonts w:eastAsia="仿宋_GB2312"/>
          <w:kern w:val="0"/>
          <w:sz w:val="32"/>
          <w:szCs w:val="32"/>
          <w:highlight w:val="none"/>
        </w:rPr>
        <w:t>口岸建设为核心，强化口岸与周</w:t>
      </w:r>
      <w:r>
        <w:rPr>
          <w:rFonts w:eastAsia="仿宋_GB2312"/>
          <w:kern w:val="0"/>
          <w:sz w:val="32"/>
          <w:szCs w:val="32"/>
        </w:rPr>
        <w:t>边中心城市的纵向服务体系，完善口岸与内地市场的纵向联系，向北积极对接俄蒙，延伸草原丝绸之路进入欧洲的多条贸易通道，增强产业吸附能力，强化基础设施和公共服务设施建设的空间保障，着力解决边境地区人口</w:t>
      </w:r>
      <w:r>
        <w:rPr>
          <w:rFonts w:hint="eastAsia" w:eastAsia="仿宋_GB2312"/>
          <w:kern w:val="0"/>
          <w:sz w:val="32"/>
          <w:szCs w:val="32"/>
        </w:rPr>
        <w:t>“</w:t>
      </w:r>
      <w:r>
        <w:rPr>
          <w:rFonts w:eastAsia="仿宋_GB2312"/>
          <w:kern w:val="0"/>
          <w:sz w:val="32"/>
          <w:szCs w:val="32"/>
        </w:rPr>
        <w:t>空心化</w:t>
      </w:r>
      <w:r>
        <w:rPr>
          <w:rFonts w:hint="eastAsia" w:eastAsia="仿宋_GB2312"/>
          <w:kern w:val="0"/>
          <w:sz w:val="32"/>
          <w:szCs w:val="32"/>
        </w:rPr>
        <w:t>”</w:t>
      </w:r>
      <w:r>
        <w:rPr>
          <w:rFonts w:eastAsia="仿宋_GB2312"/>
          <w:kern w:val="0"/>
          <w:sz w:val="32"/>
          <w:szCs w:val="32"/>
        </w:rPr>
        <w:t>，推动固边安边兴边。</w:t>
      </w:r>
    </w:p>
    <w:p w14:paraId="017CD1E3">
      <w:pPr>
        <w:pStyle w:val="27"/>
        <w:spacing w:after="0" w:line="600" w:lineRule="exact"/>
        <w:ind w:left="0" w:leftChars="0" w:firstLine="640" w:firstLineChars="200"/>
        <w:rPr>
          <w:rFonts w:eastAsia="仿宋_GB2312"/>
          <w:kern w:val="0"/>
          <w:sz w:val="32"/>
          <w:szCs w:val="32"/>
        </w:rPr>
      </w:pPr>
      <w:r>
        <w:rPr>
          <w:rFonts w:eastAsia="仿宋_GB2312"/>
          <w:kern w:val="0"/>
          <w:sz w:val="32"/>
          <w:szCs w:val="32"/>
        </w:rPr>
        <w:t>历史文化资源富集区。基于内蒙古</w:t>
      </w:r>
      <w:r>
        <w:rPr>
          <w:rFonts w:hint="eastAsia" w:eastAsia="仿宋_GB2312"/>
          <w:kern w:val="0"/>
          <w:sz w:val="32"/>
          <w:szCs w:val="32"/>
        </w:rPr>
        <w:t>自治区</w:t>
      </w:r>
      <w:r>
        <w:rPr>
          <w:rFonts w:eastAsia="仿宋_GB2312"/>
          <w:kern w:val="0"/>
          <w:sz w:val="32"/>
          <w:szCs w:val="32"/>
        </w:rPr>
        <w:t>历史文化资源分布特征，</w:t>
      </w:r>
      <w:r>
        <w:rPr>
          <w:rFonts w:hint="eastAsia" w:eastAsia="仿宋_GB2312"/>
          <w:kern w:val="0"/>
          <w:sz w:val="32"/>
          <w:szCs w:val="32"/>
        </w:rPr>
        <w:t>叠加确定</w:t>
      </w:r>
      <w:r>
        <w:rPr>
          <w:rFonts w:eastAsia="仿宋_GB2312"/>
          <w:kern w:val="0"/>
          <w:sz w:val="32"/>
          <w:szCs w:val="32"/>
        </w:rPr>
        <w:t>草原历史文化区和历史文化遗址保护区，统筹呼伦贝尔草原、科尔沁草原、锡林郭勒草原、鄂尔多斯草原和阿拉善草原历史文化保护区文化遗产全要素保护，加强历史文化遗产保护区内历史文化名城、名镇、名村保护，推进辽代上京城和祖陵遗址群、红山文化遗址群、阴山岩刻遗址群、万里茶道（内蒙古段）申遗基础性工作，</w:t>
      </w:r>
      <w:r>
        <w:rPr>
          <w:rFonts w:hint="eastAsia" w:eastAsia="仿宋_GB2312"/>
          <w:kern w:val="0"/>
          <w:sz w:val="32"/>
          <w:szCs w:val="32"/>
        </w:rPr>
        <w:t>实施</w:t>
      </w:r>
      <w:r>
        <w:rPr>
          <w:rFonts w:eastAsia="仿宋_GB2312"/>
          <w:kern w:val="0"/>
          <w:sz w:val="32"/>
          <w:szCs w:val="32"/>
        </w:rPr>
        <w:t>文化遗产系统性保护工程。</w:t>
      </w:r>
    </w:p>
    <w:bookmarkEnd w:id="70"/>
    <w:p w14:paraId="263F73C3">
      <w:pPr>
        <w:pStyle w:val="3"/>
        <w:spacing w:before="156" w:beforeLines="50" w:after="156" w:afterLines="50" w:line="600" w:lineRule="exact"/>
        <w:rPr>
          <w:rFonts w:ascii="Times New Roman" w:hAnsi="Times New Roman"/>
          <w:b w:val="0"/>
          <w:bCs w:val="0"/>
        </w:rPr>
      </w:pPr>
      <w:bookmarkStart w:id="73" w:name="_Toc155861052"/>
      <w:bookmarkStart w:id="74" w:name="_Toc160715630"/>
      <w:r>
        <w:rPr>
          <w:rFonts w:ascii="Times New Roman" w:hAnsi="Times New Roman"/>
          <w:b w:val="0"/>
          <w:bCs w:val="0"/>
        </w:rPr>
        <w:t>第三节 国土空间保护开发新格局</w:t>
      </w:r>
      <w:bookmarkEnd w:id="73"/>
      <w:bookmarkEnd w:id="74"/>
    </w:p>
    <w:p w14:paraId="3F173876">
      <w:pPr>
        <w:spacing w:line="600" w:lineRule="exact"/>
        <w:ind w:firstLine="640" w:firstLineChars="200"/>
        <w:rPr>
          <w:rFonts w:eastAsia="仿宋_GB2312"/>
          <w:kern w:val="0"/>
          <w:sz w:val="32"/>
          <w:szCs w:val="32"/>
        </w:rPr>
      </w:pPr>
      <w:bookmarkStart w:id="75" w:name="_Toc58266345"/>
      <w:bookmarkStart w:id="76" w:name="_Toc58050346"/>
      <w:bookmarkStart w:id="77" w:name="_Toc58857410"/>
      <w:bookmarkStart w:id="78" w:name="_Toc41137894"/>
      <w:r>
        <w:rPr>
          <w:rFonts w:eastAsia="楷体_GB2312"/>
          <w:bCs/>
          <w:kern w:val="0"/>
          <w:sz w:val="32"/>
          <w:szCs w:val="32"/>
        </w:rPr>
        <w:t>构筑</w:t>
      </w:r>
      <w:r>
        <w:rPr>
          <w:rFonts w:hint="eastAsia" w:eastAsia="楷体_GB2312"/>
          <w:bCs/>
          <w:kern w:val="0"/>
          <w:sz w:val="32"/>
          <w:szCs w:val="32"/>
        </w:rPr>
        <w:t>“</w:t>
      </w:r>
      <w:r>
        <w:rPr>
          <w:rFonts w:eastAsia="楷体_GB2312"/>
          <w:bCs/>
          <w:kern w:val="0"/>
          <w:sz w:val="32"/>
          <w:szCs w:val="32"/>
        </w:rPr>
        <w:t>三山两带一弯多廊多点</w:t>
      </w:r>
      <w:r>
        <w:rPr>
          <w:rFonts w:hint="eastAsia" w:eastAsia="楷体_GB2312"/>
          <w:bCs/>
          <w:kern w:val="0"/>
          <w:sz w:val="32"/>
          <w:szCs w:val="32"/>
        </w:rPr>
        <w:t>”</w:t>
      </w:r>
      <w:r>
        <w:rPr>
          <w:rFonts w:eastAsia="楷体_GB2312"/>
          <w:bCs/>
          <w:kern w:val="0"/>
          <w:sz w:val="32"/>
          <w:szCs w:val="32"/>
        </w:rPr>
        <w:t>生态空间格局</w:t>
      </w:r>
      <w:bookmarkEnd w:id="75"/>
      <w:bookmarkEnd w:id="76"/>
      <w:bookmarkEnd w:id="77"/>
      <w:r>
        <w:rPr>
          <w:rFonts w:eastAsia="楷体_GB2312"/>
          <w:bCs/>
          <w:kern w:val="0"/>
          <w:sz w:val="32"/>
          <w:szCs w:val="32"/>
        </w:rPr>
        <w:t>。</w:t>
      </w:r>
      <w:r>
        <w:rPr>
          <w:rFonts w:eastAsia="仿宋_GB2312"/>
          <w:kern w:val="0"/>
          <w:sz w:val="32"/>
          <w:szCs w:val="32"/>
        </w:rPr>
        <w:t>落实</w:t>
      </w:r>
      <w:r>
        <w:rPr>
          <w:rFonts w:hint="eastAsia" w:eastAsia="仿宋_GB2312"/>
          <w:kern w:val="0"/>
          <w:sz w:val="32"/>
          <w:szCs w:val="32"/>
        </w:rPr>
        <w:t>以“</w:t>
      </w:r>
      <w:r>
        <w:rPr>
          <w:rFonts w:eastAsia="仿宋_GB2312"/>
          <w:kern w:val="0"/>
          <w:sz w:val="32"/>
          <w:szCs w:val="32"/>
        </w:rPr>
        <w:t>三区四带</w:t>
      </w:r>
      <w:r>
        <w:rPr>
          <w:rFonts w:hint="eastAsia" w:eastAsia="仿宋_GB2312"/>
          <w:kern w:val="0"/>
          <w:sz w:val="32"/>
          <w:szCs w:val="32"/>
        </w:rPr>
        <w:t>”为核心的全国重要生态系统保护和修复重大工程总体布局</w:t>
      </w:r>
      <w:r>
        <w:rPr>
          <w:rFonts w:eastAsia="仿宋_GB2312"/>
          <w:kern w:val="0"/>
          <w:sz w:val="32"/>
          <w:szCs w:val="32"/>
        </w:rPr>
        <w:t>，在划定生态保护红线的基础上，统筹山水林田湖草沙系统治理，增强大兴安岭、阴山山脉、贺兰山山脉生态廊道和草原生态系统功能，加强黄河、西辽河、嫩江、黑河</w:t>
      </w:r>
      <w:r>
        <w:rPr>
          <w:rFonts w:hint="eastAsia" w:eastAsia="仿宋_GB2312"/>
          <w:kern w:val="0"/>
          <w:sz w:val="32"/>
          <w:szCs w:val="32"/>
        </w:rPr>
        <w:t>，以及呼伦湖、</w:t>
      </w:r>
      <w:r>
        <w:rPr>
          <w:rFonts w:eastAsia="仿宋_GB2312"/>
          <w:kern w:val="0"/>
          <w:sz w:val="32"/>
          <w:szCs w:val="32"/>
        </w:rPr>
        <w:t>乌梁素海、岱海</w:t>
      </w:r>
      <w:r>
        <w:rPr>
          <w:rFonts w:hint="eastAsia" w:eastAsia="仿宋_GB2312"/>
          <w:kern w:val="0"/>
          <w:sz w:val="32"/>
          <w:szCs w:val="32"/>
        </w:rPr>
        <w:t>“</w:t>
      </w:r>
      <w:r>
        <w:rPr>
          <w:rFonts w:eastAsia="仿宋_GB2312"/>
          <w:kern w:val="0"/>
          <w:sz w:val="32"/>
          <w:szCs w:val="32"/>
        </w:rPr>
        <w:t>一湖两海</w:t>
      </w:r>
      <w:r>
        <w:rPr>
          <w:rFonts w:hint="eastAsia" w:eastAsia="仿宋_GB2312"/>
          <w:kern w:val="0"/>
          <w:sz w:val="32"/>
          <w:szCs w:val="32"/>
        </w:rPr>
        <w:t>”</w:t>
      </w:r>
      <w:r>
        <w:rPr>
          <w:rFonts w:eastAsia="仿宋_GB2312"/>
          <w:kern w:val="0"/>
          <w:sz w:val="32"/>
          <w:szCs w:val="32"/>
        </w:rPr>
        <w:t>等流域水域生态环境保护治理，完善</w:t>
      </w:r>
      <w:r>
        <w:rPr>
          <w:rFonts w:hint="eastAsia" w:eastAsia="仿宋_GB2312"/>
          <w:kern w:val="0"/>
          <w:sz w:val="32"/>
          <w:szCs w:val="32"/>
        </w:rPr>
        <w:t>巴丹吉林、腾格里、乌兰布和、库布其等沙漠和毛乌素、浑善达克、科尔沁、呼伦贝尔等沙地</w:t>
      </w:r>
      <w:r>
        <w:rPr>
          <w:rFonts w:eastAsia="仿宋_GB2312"/>
          <w:kern w:val="0"/>
          <w:sz w:val="32"/>
          <w:szCs w:val="32"/>
        </w:rPr>
        <w:t>防沙治沙体系，构建集草原、森林、河流、湖泊、湿地、沙漠、沙地于一体的全域生态安全格局。</w:t>
      </w:r>
    </w:p>
    <w:p w14:paraId="79594D84">
      <w:pPr>
        <w:spacing w:line="600" w:lineRule="exact"/>
        <w:ind w:firstLine="640" w:firstLineChars="200"/>
        <w:rPr>
          <w:rFonts w:eastAsia="仿宋_GB2312"/>
          <w:kern w:val="0"/>
          <w:sz w:val="32"/>
          <w:szCs w:val="32"/>
        </w:rPr>
      </w:pPr>
      <w:bookmarkStart w:id="79" w:name="OLE_LINK13"/>
      <w:r>
        <w:rPr>
          <w:rFonts w:hint="eastAsia" w:eastAsia="仿宋_GB2312"/>
          <w:kern w:val="0"/>
          <w:sz w:val="32"/>
          <w:szCs w:val="32"/>
        </w:rPr>
        <w:t>“</w:t>
      </w:r>
      <w:r>
        <w:rPr>
          <w:rFonts w:eastAsia="仿宋_GB2312"/>
          <w:kern w:val="0"/>
          <w:sz w:val="32"/>
          <w:szCs w:val="32"/>
        </w:rPr>
        <w:t>三山</w:t>
      </w:r>
      <w:r>
        <w:rPr>
          <w:rFonts w:hint="eastAsia" w:eastAsia="仿宋_GB2312"/>
          <w:kern w:val="0"/>
          <w:sz w:val="32"/>
          <w:szCs w:val="32"/>
        </w:rPr>
        <w:t>”</w:t>
      </w:r>
      <w:r>
        <w:rPr>
          <w:rFonts w:eastAsia="仿宋_GB2312"/>
          <w:kern w:val="0"/>
          <w:sz w:val="32"/>
          <w:szCs w:val="32"/>
        </w:rPr>
        <w:t>生态屏障</w:t>
      </w:r>
      <w:bookmarkEnd w:id="79"/>
      <w:r>
        <w:rPr>
          <w:rFonts w:eastAsia="仿宋_GB2312"/>
          <w:kern w:val="0"/>
          <w:sz w:val="32"/>
          <w:szCs w:val="32"/>
        </w:rPr>
        <w:t>。大兴安岭、阴山山脉、贺兰山山脉是内蒙古</w:t>
      </w:r>
      <w:r>
        <w:rPr>
          <w:rFonts w:hint="eastAsia" w:eastAsia="仿宋_GB2312"/>
          <w:kern w:val="0"/>
          <w:sz w:val="32"/>
          <w:szCs w:val="32"/>
        </w:rPr>
        <w:t>自治区</w:t>
      </w:r>
      <w:r>
        <w:rPr>
          <w:rFonts w:eastAsia="仿宋_GB2312"/>
          <w:kern w:val="0"/>
          <w:sz w:val="32"/>
          <w:szCs w:val="32"/>
        </w:rPr>
        <w:t>地形地貌的主骨架，重点建设以水源涵养、防风固沙和生物多样性保护为主要功能的生态屏障，统筹推进东北森林带生态工程建设。</w:t>
      </w:r>
    </w:p>
    <w:p w14:paraId="552301A6">
      <w:pPr>
        <w:spacing w:line="600" w:lineRule="exact"/>
        <w:ind w:firstLine="640" w:firstLineChars="200"/>
        <w:rPr>
          <w:rFonts w:eastAsia="仿宋_GB2312"/>
          <w:kern w:val="0"/>
          <w:sz w:val="32"/>
          <w:szCs w:val="32"/>
        </w:rPr>
      </w:pPr>
      <w:bookmarkStart w:id="80" w:name="OLE_LINK14"/>
      <w:r>
        <w:rPr>
          <w:rFonts w:eastAsia="仿宋_GB2312"/>
          <w:kern w:val="0"/>
          <w:sz w:val="32"/>
          <w:szCs w:val="32"/>
        </w:rPr>
        <w:t>北部草原保护带</w:t>
      </w:r>
      <w:bookmarkEnd w:id="80"/>
      <w:r>
        <w:rPr>
          <w:rFonts w:eastAsia="仿宋_GB2312"/>
          <w:kern w:val="0"/>
          <w:sz w:val="32"/>
          <w:szCs w:val="32"/>
        </w:rPr>
        <w:t>。</w:t>
      </w:r>
      <w:r>
        <w:rPr>
          <w:rFonts w:hint="eastAsia" w:eastAsia="仿宋_GB2312"/>
          <w:kern w:val="0"/>
          <w:sz w:val="32"/>
          <w:szCs w:val="32"/>
        </w:rPr>
        <w:t>“</w:t>
      </w:r>
      <w:r>
        <w:rPr>
          <w:rFonts w:eastAsia="仿宋_GB2312"/>
          <w:kern w:val="0"/>
          <w:sz w:val="32"/>
          <w:szCs w:val="32"/>
        </w:rPr>
        <w:t>三山</w:t>
      </w:r>
      <w:r>
        <w:rPr>
          <w:rFonts w:hint="eastAsia" w:eastAsia="仿宋_GB2312"/>
          <w:kern w:val="0"/>
          <w:sz w:val="32"/>
          <w:szCs w:val="32"/>
        </w:rPr>
        <w:t>”</w:t>
      </w:r>
      <w:r>
        <w:rPr>
          <w:rFonts w:eastAsia="仿宋_GB2312"/>
          <w:kern w:val="0"/>
          <w:sz w:val="32"/>
          <w:szCs w:val="32"/>
        </w:rPr>
        <w:t>生态屏障的西北侧重点加强草原生态保护与修复，建设北方防沙带工程，阻止风沙危害，提升区域生态环境质量，突出生态廊道的连通性，构建融合牧业生产、生态旅游、口岸发展的空间格局，维护生态安全和边疆稳定。</w:t>
      </w:r>
    </w:p>
    <w:p w14:paraId="1F80FA99">
      <w:pPr>
        <w:spacing w:line="600" w:lineRule="exact"/>
        <w:ind w:firstLine="640" w:firstLineChars="200"/>
        <w:rPr>
          <w:rFonts w:eastAsia="仿宋_GB2312"/>
          <w:kern w:val="0"/>
          <w:sz w:val="32"/>
          <w:szCs w:val="32"/>
        </w:rPr>
      </w:pPr>
      <w:bookmarkStart w:id="81" w:name="OLE_LINK15"/>
      <w:r>
        <w:rPr>
          <w:rFonts w:eastAsia="仿宋_GB2312"/>
          <w:kern w:val="0"/>
          <w:sz w:val="32"/>
          <w:szCs w:val="32"/>
        </w:rPr>
        <w:t>南部农牧交错修复带</w:t>
      </w:r>
      <w:bookmarkEnd w:id="81"/>
      <w:r>
        <w:rPr>
          <w:rFonts w:eastAsia="仿宋_GB2312"/>
          <w:kern w:val="0"/>
          <w:sz w:val="32"/>
          <w:szCs w:val="32"/>
        </w:rPr>
        <w:t>。</w:t>
      </w:r>
      <w:r>
        <w:rPr>
          <w:rFonts w:hint="eastAsia" w:eastAsia="仿宋_GB2312"/>
          <w:kern w:val="0"/>
          <w:sz w:val="32"/>
          <w:szCs w:val="32"/>
        </w:rPr>
        <w:t>“</w:t>
      </w:r>
      <w:r>
        <w:rPr>
          <w:rFonts w:eastAsia="仿宋_GB2312"/>
          <w:kern w:val="0"/>
          <w:sz w:val="32"/>
          <w:szCs w:val="32"/>
        </w:rPr>
        <w:t>三山</w:t>
      </w:r>
      <w:r>
        <w:rPr>
          <w:rFonts w:hint="eastAsia" w:eastAsia="仿宋_GB2312"/>
          <w:kern w:val="0"/>
          <w:sz w:val="32"/>
          <w:szCs w:val="32"/>
        </w:rPr>
        <w:t>”</w:t>
      </w:r>
      <w:r>
        <w:rPr>
          <w:rFonts w:eastAsia="仿宋_GB2312"/>
          <w:kern w:val="0"/>
          <w:sz w:val="32"/>
          <w:szCs w:val="32"/>
        </w:rPr>
        <w:t>生态屏障的</w:t>
      </w:r>
      <w:r>
        <w:rPr>
          <w:rFonts w:hint="eastAsia" w:eastAsia="仿宋_GB2312"/>
          <w:kern w:val="0"/>
          <w:sz w:val="32"/>
          <w:szCs w:val="32"/>
        </w:rPr>
        <w:t>东</w:t>
      </w:r>
      <w:r>
        <w:rPr>
          <w:rFonts w:eastAsia="仿宋_GB2312"/>
          <w:kern w:val="0"/>
          <w:sz w:val="32"/>
          <w:szCs w:val="32"/>
        </w:rPr>
        <w:t>南侧重点加强大兴安岭丘陵区、阴山丘陵区、黄土高原丘陵区的生态修复治理，提高生态系统功能，改善生态环境。</w:t>
      </w:r>
    </w:p>
    <w:p w14:paraId="5FB3AAEF">
      <w:pPr>
        <w:spacing w:after="156" w:afterLines="50" w:line="600" w:lineRule="exact"/>
        <w:ind w:firstLine="640" w:firstLineChars="200"/>
        <w:rPr>
          <w:rFonts w:eastAsia="仿宋"/>
          <w:sz w:val="32"/>
          <w:szCs w:val="32"/>
        </w:rPr>
      </w:pPr>
      <w:r>
        <w:rPr>
          <w:rFonts w:eastAsia="仿宋_GB2312"/>
          <w:kern w:val="0"/>
          <w:sz w:val="32"/>
          <w:szCs w:val="32"/>
        </w:rPr>
        <w:t>一弯多廊多点。突出抓好黄河流域、重点河流水系廊道、重要功能湖泊的生态保护。黄河流经内蒙古</w:t>
      </w:r>
      <w:r>
        <w:rPr>
          <w:rFonts w:hint="eastAsia" w:eastAsia="仿宋_GB2312"/>
          <w:kern w:val="0"/>
          <w:sz w:val="32"/>
          <w:szCs w:val="32"/>
        </w:rPr>
        <w:t>自治区</w:t>
      </w:r>
      <w:r>
        <w:rPr>
          <w:rFonts w:eastAsia="仿宋_GB2312"/>
          <w:kern w:val="0"/>
          <w:sz w:val="32"/>
          <w:szCs w:val="32"/>
        </w:rPr>
        <w:t>形成的</w:t>
      </w:r>
      <w:r>
        <w:rPr>
          <w:rFonts w:hint="eastAsia" w:eastAsia="仿宋_GB2312"/>
          <w:kern w:val="0"/>
          <w:sz w:val="32"/>
          <w:szCs w:val="32"/>
        </w:rPr>
        <w:t>“</w:t>
      </w:r>
      <w:r>
        <w:rPr>
          <w:rFonts w:eastAsia="仿宋_GB2312"/>
          <w:kern w:val="0"/>
          <w:sz w:val="32"/>
          <w:szCs w:val="32"/>
        </w:rPr>
        <w:t>几</w:t>
      </w:r>
      <w:r>
        <w:rPr>
          <w:rFonts w:hint="eastAsia" w:eastAsia="仿宋_GB2312"/>
          <w:kern w:val="0"/>
          <w:sz w:val="32"/>
          <w:szCs w:val="32"/>
        </w:rPr>
        <w:t>”</w:t>
      </w:r>
      <w:r>
        <w:rPr>
          <w:rFonts w:eastAsia="仿宋_GB2312"/>
          <w:kern w:val="0"/>
          <w:sz w:val="32"/>
          <w:szCs w:val="32"/>
        </w:rPr>
        <w:t>字弯地区突出抓好黄河生态带建设，统筹考虑行洪安全、生态保护和节约用地，实施生态保护修复重大工程</w:t>
      </w:r>
      <w:r>
        <w:rPr>
          <w:rFonts w:hint="eastAsia" w:eastAsia="仿宋_GB2312"/>
          <w:kern w:val="0"/>
          <w:sz w:val="32"/>
          <w:szCs w:val="32"/>
        </w:rPr>
        <w:t>。</w:t>
      </w:r>
      <w:r>
        <w:rPr>
          <w:rFonts w:eastAsia="仿宋_GB2312"/>
          <w:kern w:val="0"/>
          <w:sz w:val="32"/>
          <w:szCs w:val="32"/>
        </w:rPr>
        <w:t>西辽河、嫩江、滦河、额尔古纳河、黑河等重点河流划定禁止建设区，建设水系生态廊道</w:t>
      </w:r>
      <w:r>
        <w:rPr>
          <w:rFonts w:hint="eastAsia" w:eastAsia="仿宋_GB2312"/>
          <w:kern w:val="0"/>
          <w:sz w:val="32"/>
          <w:szCs w:val="32"/>
        </w:rPr>
        <w:t>。</w:t>
      </w:r>
      <w:r>
        <w:rPr>
          <w:rFonts w:eastAsia="仿宋_GB2312"/>
          <w:kern w:val="0"/>
          <w:sz w:val="32"/>
          <w:szCs w:val="32"/>
        </w:rPr>
        <w:t>呼伦湖、巴林雅鲁河等重要功能湖泊湿地加强水污染、水环境治理，发挥生态关键点作用。</w:t>
      </w:r>
    </w:p>
    <w:p w14:paraId="1FBB0338">
      <w:pPr>
        <w:spacing w:line="600" w:lineRule="exact"/>
        <w:ind w:firstLine="616" w:firstLineChars="200"/>
        <w:rPr>
          <w:rFonts w:eastAsia="仿宋_GB2312"/>
          <w:spacing w:val="-6"/>
          <w:kern w:val="0"/>
          <w:sz w:val="32"/>
          <w:szCs w:val="32"/>
        </w:rPr>
      </w:pPr>
      <w:bookmarkStart w:id="82" w:name="_Toc58266346"/>
      <w:bookmarkStart w:id="83" w:name="_Toc58857411"/>
      <w:bookmarkStart w:id="84" w:name="_Toc58050347"/>
      <w:r>
        <w:rPr>
          <w:rFonts w:eastAsia="楷体_GB2312"/>
          <w:bCs/>
          <w:spacing w:val="-6"/>
          <w:kern w:val="0"/>
          <w:sz w:val="32"/>
          <w:szCs w:val="32"/>
        </w:rPr>
        <w:t>构建</w:t>
      </w:r>
      <w:r>
        <w:rPr>
          <w:rFonts w:hint="eastAsia" w:eastAsia="楷体_GB2312"/>
          <w:bCs/>
          <w:spacing w:val="-6"/>
          <w:kern w:val="0"/>
          <w:sz w:val="32"/>
          <w:szCs w:val="32"/>
        </w:rPr>
        <w:t>“</w:t>
      </w:r>
      <w:r>
        <w:rPr>
          <w:rFonts w:eastAsia="楷体_GB2312"/>
          <w:bCs/>
          <w:spacing w:val="-6"/>
          <w:kern w:val="0"/>
          <w:sz w:val="32"/>
          <w:szCs w:val="32"/>
        </w:rPr>
        <w:t>六牧四农</w:t>
      </w:r>
      <w:r>
        <w:rPr>
          <w:rFonts w:hint="eastAsia" w:eastAsia="楷体_GB2312"/>
          <w:bCs/>
          <w:spacing w:val="-6"/>
          <w:kern w:val="0"/>
          <w:sz w:val="32"/>
          <w:szCs w:val="32"/>
        </w:rPr>
        <w:t>”</w:t>
      </w:r>
      <w:r>
        <w:rPr>
          <w:rFonts w:eastAsia="楷体_GB2312"/>
          <w:bCs/>
          <w:spacing w:val="-6"/>
          <w:kern w:val="0"/>
          <w:sz w:val="32"/>
          <w:szCs w:val="32"/>
        </w:rPr>
        <w:t>农牧空间格局</w:t>
      </w:r>
      <w:bookmarkEnd w:id="82"/>
      <w:bookmarkEnd w:id="83"/>
      <w:bookmarkEnd w:id="84"/>
      <w:r>
        <w:rPr>
          <w:rFonts w:eastAsia="楷体_GB2312"/>
          <w:bCs/>
          <w:spacing w:val="-6"/>
          <w:kern w:val="0"/>
          <w:sz w:val="32"/>
          <w:szCs w:val="32"/>
        </w:rPr>
        <w:t>。</w:t>
      </w:r>
      <w:r>
        <w:rPr>
          <w:rFonts w:eastAsia="仿宋_GB2312"/>
          <w:spacing w:val="-6"/>
          <w:kern w:val="0"/>
          <w:sz w:val="32"/>
          <w:szCs w:val="32"/>
        </w:rPr>
        <w:t>落实国家农产品主产区格局</w:t>
      </w:r>
      <w:r>
        <w:rPr>
          <w:rFonts w:hint="eastAsia" w:eastAsia="仿宋_GB2312"/>
          <w:spacing w:val="-6"/>
          <w:kern w:val="0"/>
          <w:sz w:val="32"/>
          <w:szCs w:val="32"/>
        </w:rPr>
        <w:t>，</w:t>
      </w:r>
      <w:r>
        <w:rPr>
          <w:rFonts w:eastAsia="仿宋_GB2312"/>
          <w:spacing w:val="-6"/>
          <w:kern w:val="0"/>
          <w:sz w:val="32"/>
          <w:szCs w:val="32"/>
        </w:rPr>
        <w:t>以粮食生产功能区和重要农产品生产保护区为重点</w:t>
      </w:r>
      <w:r>
        <w:rPr>
          <w:rFonts w:hint="eastAsia" w:eastAsia="仿宋_GB2312"/>
          <w:spacing w:val="-6"/>
          <w:kern w:val="0"/>
          <w:sz w:val="32"/>
          <w:szCs w:val="32"/>
        </w:rPr>
        <w:t>推动建设</w:t>
      </w:r>
      <w:r>
        <w:rPr>
          <w:rFonts w:eastAsia="仿宋_GB2312"/>
          <w:spacing w:val="-6"/>
          <w:kern w:val="0"/>
          <w:sz w:val="32"/>
          <w:szCs w:val="32"/>
        </w:rPr>
        <w:t>粮食安全产业带，围绕建设国家</w:t>
      </w:r>
      <w:r>
        <w:rPr>
          <w:rFonts w:hint="eastAsia" w:eastAsia="仿宋_GB2312"/>
          <w:spacing w:val="-6"/>
          <w:kern w:val="0"/>
          <w:sz w:val="32"/>
          <w:szCs w:val="32"/>
        </w:rPr>
        <w:t>重要</w:t>
      </w:r>
      <w:r>
        <w:rPr>
          <w:rFonts w:eastAsia="仿宋_GB2312"/>
          <w:spacing w:val="-6"/>
          <w:kern w:val="0"/>
          <w:sz w:val="32"/>
          <w:szCs w:val="32"/>
        </w:rPr>
        <w:t>农畜产品生产基地的战略定位，根据自然地理格局、资源环境承载能力和农畜产品主产区的空间分布，结合内蒙古</w:t>
      </w:r>
      <w:r>
        <w:rPr>
          <w:rFonts w:hint="eastAsia" w:eastAsia="仿宋_GB2312"/>
          <w:spacing w:val="-6"/>
          <w:kern w:val="0"/>
          <w:sz w:val="32"/>
          <w:szCs w:val="32"/>
        </w:rPr>
        <w:t>自治区“</w:t>
      </w:r>
      <w:r>
        <w:rPr>
          <w:rFonts w:eastAsia="仿宋_GB2312"/>
          <w:spacing w:val="-6"/>
          <w:kern w:val="0"/>
          <w:sz w:val="32"/>
          <w:szCs w:val="32"/>
        </w:rPr>
        <w:t>南粮北牧</w:t>
      </w:r>
      <w:r>
        <w:rPr>
          <w:rFonts w:hint="eastAsia" w:eastAsia="仿宋_GB2312"/>
          <w:spacing w:val="-6"/>
          <w:kern w:val="0"/>
          <w:sz w:val="32"/>
          <w:szCs w:val="32"/>
        </w:rPr>
        <w:t>”</w:t>
      </w:r>
      <w:r>
        <w:rPr>
          <w:rFonts w:eastAsia="仿宋_GB2312"/>
          <w:spacing w:val="-6"/>
          <w:kern w:val="0"/>
          <w:sz w:val="32"/>
          <w:szCs w:val="32"/>
        </w:rPr>
        <w:t>的农牧结构特征，统筹草原生态和生产的复合功能，构建</w:t>
      </w:r>
      <w:r>
        <w:rPr>
          <w:rFonts w:hint="eastAsia" w:eastAsia="仿宋_GB2312"/>
          <w:spacing w:val="-6"/>
          <w:kern w:val="0"/>
          <w:sz w:val="32"/>
          <w:szCs w:val="32"/>
        </w:rPr>
        <w:t>“</w:t>
      </w:r>
      <w:r>
        <w:rPr>
          <w:rFonts w:eastAsia="仿宋_GB2312"/>
          <w:spacing w:val="-6"/>
          <w:kern w:val="0"/>
          <w:sz w:val="32"/>
          <w:szCs w:val="32"/>
        </w:rPr>
        <w:t>六牧四农</w:t>
      </w:r>
      <w:r>
        <w:rPr>
          <w:rFonts w:hint="eastAsia" w:eastAsia="仿宋_GB2312"/>
          <w:spacing w:val="-6"/>
          <w:kern w:val="0"/>
          <w:sz w:val="32"/>
          <w:szCs w:val="32"/>
        </w:rPr>
        <w:t>”</w:t>
      </w:r>
      <w:r>
        <w:rPr>
          <w:rFonts w:eastAsia="仿宋_GB2312"/>
          <w:spacing w:val="-6"/>
          <w:kern w:val="0"/>
          <w:sz w:val="32"/>
          <w:szCs w:val="32"/>
        </w:rPr>
        <w:t>的农牧空间格局。</w:t>
      </w:r>
    </w:p>
    <w:p w14:paraId="5D9FDC2A">
      <w:pPr>
        <w:spacing w:line="600" w:lineRule="exact"/>
        <w:ind w:firstLine="640" w:firstLineChars="200"/>
        <w:rPr>
          <w:rFonts w:eastAsia="仿宋_GB2312"/>
          <w:kern w:val="0"/>
          <w:sz w:val="32"/>
          <w:szCs w:val="32"/>
        </w:rPr>
      </w:pPr>
      <w:r>
        <w:rPr>
          <w:rFonts w:eastAsia="仿宋_GB2312"/>
          <w:kern w:val="0"/>
          <w:sz w:val="32"/>
          <w:szCs w:val="32"/>
        </w:rPr>
        <w:t>畜牧生产功能区。划定呼伦贝尔、科尔沁、锡林郭勒、乌兰察布、鄂尔多斯、阿拉善六大草原畜牧区。坚持以草定畜和草畜平衡，生态脆弱区实施禁牧、休牧和划区轮牧制度，优先将严重沙化草原划定为禁牧区，优先保护生态保护红线内草原生态环境，引导实施季节性放牧，</w:t>
      </w:r>
      <w:r>
        <w:rPr>
          <w:rFonts w:hint="eastAsia" w:eastAsia="仿宋_GB2312"/>
          <w:kern w:val="0"/>
          <w:sz w:val="32"/>
          <w:szCs w:val="32"/>
        </w:rPr>
        <w:t>提升天然草原生产能力和草种供给能力</w:t>
      </w:r>
      <w:r>
        <w:rPr>
          <w:rFonts w:eastAsia="仿宋_GB2312"/>
          <w:kern w:val="0"/>
          <w:sz w:val="32"/>
          <w:szCs w:val="32"/>
        </w:rPr>
        <w:t>。东部草原重点建设肉牛、肉羊绿色畜牧业生产基地，西部荒漠化草原兼顾草原保护和畜牧业生产。</w:t>
      </w:r>
    </w:p>
    <w:p w14:paraId="25509BF2">
      <w:pPr>
        <w:spacing w:after="156" w:afterLines="50" w:line="600" w:lineRule="exact"/>
        <w:ind w:firstLine="640" w:firstLineChars="200"/>
        <w:rPr>
          <w:rFonts w:eastAsia="仿宋_GB2312"/>
          <w:kern w:val="0"/>
          <w:sz w:val="32"/>
          <w:szCs w:val="32"/>
        </w:rPr>
      </w:pPr>
      <w:r>
        <w:rPr>
          <w:rFonts w:eastAsia="仿宋_GB2312"/>
          <w:kern w:val="0"/>
          <w:sz w:val="32"/>
          <w:szCs w:val="32"/>
        </w:rPr>
        <w:t>农牧生产功能区。根据耕地和永久基本农田保护红线，划定大兴安岭沿麓、西辽河流域、阴山沿麓和沿黄干流平原四大农牧区。坚持以水定地、以水定产，遵循宜农则农、宜林则林、宜牧则牧的国土空间开发利用适宜性，重点</w:t>
      </w:r>
      <w:r>
        <w:rPr>
          <w:rFonts w:hint="eastAsia" w:eastAsia="仿宋_GB2312"/>
          <w:kern w:val="0"/>
          <w:sz w:val="32"/>
          <w:szCs w:val="32"/>
        </w:rPr>
        <w:t>在</w:t>
      </w:r>
      <w:r>
        <w:rPr>
          <w:rFonts w:eastAsia="仿宋_GB2312"/>
          <w:kern w:val="0"/>
          <w:sz w:val="32"/>
          <w:szCs w:val="32"/>
        </w:rPr>
        <w:t>沿黄干流平原、西辽河平原、嫩江右岸平原建设以粮食为主的农产品生产加工基地；</w:t>
      </w:r>
      <w:r>
        <w:rPr>
          <w:rFonts w:hint="eastAsia" w:eastAsia="仿宋_GB2312"/>
          <w:kern w:val="0"/>
          <w:sz w:val="32"/>
          <w:szCs w:val="32"/>
        </w:rPr>
        <w:t>在</w:t>
      </w:r>
      <w:r>
        <w:rPr>
          <w:rFonts w:eastAsia="仿宋_GB2312"/>
          <w:kern w:val="0"/>
          <w:sz w:val="32"/>
          <w:szCs w:val="32"/>
        </w:rPr>
        <w:t>大兴安岭、阴山丘陵区建设特色农产品生产加工基地；</w:t>
      </w:r>
      <w:r>
        <w:rPr>
          <w:rFonts w:hint="eastAsia" w:eastAsia="仿宋_GB2312"/>
          <w:kern w:val="0"/>
          <w:sz w:val="32"/>
          <w:szCs w:val="32"/>
        </w:rPr>
        <w:t>在</w:t>
      </w:r>
      <w:r>
        <w:rPr>
          <w:rFonts w:eastAsia="仿宋_GB2312"/>
          <w:kern w:val="0"/>
          <w:sz w:val="32"/>
          <w:szCs w:val="32"/>
        </w:rPr>
        <w:t>呼和浩特</w:t>
      </w:r>
      <w:r>
        <w:rPr>
          <w:rFonts w:hint="eastAsia" w:eastAsia="仿宋_GB2312"/>
          <w:kern w:val="0"/>
          <w:sz w:val="32"/>
          <w:szCs w:val="32"/>
        </w:rPr>
        <w:t>市</w:t>
      </w:r>
      <w:r>
        <w:rPr>
          <w:rFonts w:eastAsia="仿宋_GB2312"/>
          <w:kern w:val="0"/>
          <w:sz w:val="32"/>
          <w:szCs w:val="32"/>
        </w:rPr>
        <w:t>、兴安盟、通辽</w:t>
      </w:r>
      <w:r>
        <w:rPr>
          <w:rFonts w:hint="eastAsia" w:eastAsia="仿宋_GB2312"/>
          <w:kern w:val="0"/>
          <w:sz w:val="32"/>
          <w:szCs w:val="32"/>
        </w:rPr>
        <w:t>市</w:t>
      </w:r>
      <w:r>
        <w:rPr>
          <w:rFonts w:eastAsia="仿宋_GB2312"/>
          <w:kern w:val="0"/>
          <w:sz w:val="32"/>
          <w:szCs w:val="32"/>
        </w:rPr>
        <w:t>、赤峰</w:t>
      </w:r>
      <w:r>
        <w:rPr>
          <w:rFonts w:hint="eastAsia" w:eastAsia="仿宋_GB2312"/>
          <w:kern w:val="0"/>
          <w:sz w:val="32"/>
          <w:szCs w:val="32"/>
        </w:rPr>
        <w:t>市</w:t>
      </w:r>
      <w:r>
        <w:rPr>
          <w:rFonts w:eastAsia="仿宋_GB2312"/>
          <w:kern w:val="0"/>
          <w:sz w:val="32"/>
          <w:szCs w:val="32"/>
        </w:rPr>
        <w:t>、巴彦淖尔</w:t>
      </w:r>
      <w:r>
        <w:rPr>
          <w:rFonts w:hint="eastAsia" w:eastAsia="仿宋_GB2312"/>
          <w:kern w:val="0"/>
          <w:sz w:val="32"/>
          <w:szCs w:val="32"/>
        </w:rPr>
        <w:t>市</w:t>
      </w:r>
      <w:r>
        <w:rPr>
          <w:rFonts w:eastAsia="仿宋_GB2312"/>
          <w:kern w:val="0"/>
          <w:sz w:val="32"/>
          <w:szCs w:val="32"/>
        </w:rPr>
        <w:t>建设重要畜产品养殖基地。</w:t>
      </w:r>
    </w:p>
    <w:p w14:paraId="7E810B35">
      <w:pPr>
        <w:spacing w:line="600" w:lineRule="exact"/>
        <w:ind w:firstLine="640" w:firstLineChars="200"/>
        <w:rPr>
          <w:rFonts w:eastAsia="仿宋_GB2312"/>
          <w:kern w:val="0"/>
          <w:sz w:val="32"/>
          <w:szCs w:val="32"/>
        </w:rPr>
      </w:pPr>
      <w:bookmarkStart w:id="85" w:name="_Toc58266347"/>
      <w:bookmarkStart w:id="86" w:name="_Toc58050348"/>
      <w:bookmarkStart w:id="87" w:name="_Toc58857412"/>
      <w:r>
        <w:rPr>
          <w:rFonts w:eastAsia="楷体_GB2312"/>
          <w:bCs/>
          <w:kern w:val="0"/>
          <w:sz w:val="32"/>
          <w:szCs w:val="32"/>
        </w:rPr>
        <w:t>打造</w:t>
      </w:r>
      <w:bookmarkStart w:id="88" w:name="OLE_LINK28"/>
      <w:r>
        <w:rPr>
          <w:rFonts w:hint="eastAsia" w:eastAsia="楷体_GB2312"/>
          <w:bCs/>
          <w:kern w:val="0"/>
          <w:sz w:val="32"/>
          <w:szCs w:val="32"/>
        </w:rPr>
        <w:t>“</w:t>
      </w:r>
      <w:r>
        <w:rPr>
          <w:rFonts w:eastAsia="楷体_GB2312"/>
          <w:bCs/>
          <w:kern w:val="0"/>
          <w:sz w:val="32"/>
          <w:szCs w:val="32"/>
        </w:rPr>
        <w:t>一核</w:t>
      </w:r>
      <w:bookmarkEnd w:id="88"/>
      <w:bookmarkStart w:id="89" w:name="OLE_LINK29"/>
      <w:r>
        <w:rPr>
          <w:rFonts w:eastAsia="楷体_GB2312"/>
          <w:bCs/>
          <w:kern w:val="0"/>
          <w:sz w:val="32"/>
          <w:szCs w:val="32"/>
        </w:rPr>
        <w:t>双星</w:t>
      </w:r>
      <w:bookmarkEnd w:id="89"/>
      <w:bookmarkStart w:id="90" w:name="OLE_LINK30"/>
      <w:r>
        <w:rPr>
          <w:rFonts w:eastAsia="楷体_GB2312"/>
          <w:bCs/>
          <w:kern w:val="0"/>
          <w:sz w:val="32"/>
          <w:szCs w:val="32"/>
        </w:rPr>
        <w:t>多节点</w:t>
      </w:r>
      <w:bookmarkEnd w:id="90"/>
      <w:r>
        <w:rPr>
          <w:rFonts w:hint="eastAsia" w:eastAsia="楷体_GB2312"/>
          <w:bCs/>
          <w:kern w:val="0"/>
          <w:sz w:val="32"/>
          <w:szCs w:val="32"/>
        </w:rPr>
        <w:t>”</w:t>
      </w:r>
      <w:r>
        <w:rPr>
          <w:rFonts w:eastAsia="楷体_GB2312"/>
          <w:bCs/>
          <w:kern w:val="0"/>
          <w:sz w:val="32"/>
          <w:szCs w:val="32"/>
        </w:rPr>
        <w:t>城镇空间格局</w:t>
      </w:r>
      <w:bookmarkEnd w:id="85"/>
      <w:bookmarkEnd w:id="86"/>
      <w:bookmarkEnd w:id="87"/>
      <w:r>
        <w:rPr>
          <w:rFonts w:eastAsia="楷体_GB2312"/>
          <w:bCs/>
          <w:kern w:val="0"/>
          <w:sz w:val="32"/>
          <w:szCs w:val="32"/>
        </w:rPr>
        <w:t>。</w:t>
      </w:r>
      <w:r>
        <w:rPr>
          <w:rFonts w:eastAsia="仿宋_GB2312"/>
          <w:kern w:val="0"/>
          <w:sz w:val="32"/>
          <w:szCs w:val="32"/>
        </w:rPr>
        <w:t>落实国家</w:t>
      </w:r>
      <w:r>
        <w:rPr>
          <w:rFonts w:hint="eastAsia" w:eastAsia="仿宋_GB2312"/>
          <w:kern w:val="0"/>
          <w:sz w:val="32"/>
          <w:szCs w:val="32"/>
        </w:rPr>
        <w:t>“</w:t>
      </w:r>
      <w:r>
        <w:rPr>
          <w:rFonts w:eastAsia="仿宋_GB2312"/>
          <w:kern w:val="0"/>
          <w:sz w:val="32"/>
          <w:szCs w:val="32"/>
        </w:rPr>
        <w:t>两横三纵</w:t>
      </w:r>
      <w:r>
        <w:rPr>
          <w:rFonts w:hint="eastAsia" w:eastAsia="仿宋_GB2312"/>
          <w:kern w:val="0"/>
          <w:sz w:val="32"/>
          <w:szCs w:val="32"/>
        </w:rPr>
        <w:t>”</w:t>
      </w:r>
      <w:r>
        <w:rPr>
          <w:rFonts w:eastAsia="仿宋_GB2312"/>
          <w:kern w:val="0"/>
          <w:sz w:val="32"/>
          <w:szCs w:val="32"/>
        </w:rPr>
        <w:t>城镇化战略格局，围绕建设国家重要能源和战略资源基地、我国向北开放重要桥头堡，基于生产力集中分布的特征和城市化地区的主体功能定位，适应构建</w:t>
      </w:r>
      <w:r>
        <w:rPr>
          <w:rFonts w:hint="eastAsia" w:eastAsia="仿宋_GB2312"/>
          <w:kern w:val="0"/>
          <w:sz w:val="32"/>
          <w:szCs w:val="32"/>
        </w:rPr>
        <w:t>以</w:t>
      </w:r>
      <w:r>
        <w:rPr>
          <w:rFonts w:eastAsia="仿宋_GB2312"/>
          <w:kern w:val="0"/>
          <w:sz w:val="32"/>
          <w:szCs w:val="32"/>
        </w:rPr>
        <w:t>国内大循环为主体、国内国际双循环相互促进的新发展格局要求，按照</w:t>
      </w:r>
      <w:r>
        <w:rPr>
          <w:rFonts w:hint="eastAsia" w:eastAsia="仿宋_GB2312"/>
          <w:kern w:val="0"/>
          <w:sz w:val="32"/>
          <w:szCs w:val="32"/>
        </w:rPr>
        <w:t>“</w:t>
      </w:r>
      <w:r>
        <w:rPr>
          <w:rFonts w:eastAsia="仿宋_GB2312"/>
          <w:kern w:val="0"/>
          <w:sz w:val="32"/>
          <w:szCs w:val="32"/>
        </w:rPr>
        <w:t>核心引领、中心带动</w:t>
      </w:r>
      <w:r>
        <w:rPr>
          <w:rFonts w:hint="eastAsia" w:eastAsia="仿宋_GB2312"/>
          <w:kern w:val="0"/>
          <w:sz w:val="32"/>
          <w:szCs w:val="32"/>
        </w:rPr>
        <w:t>、</w:t>
      </w:r>
      <w:r>
        <w:rPr>
          <w:rFonts w:eastAsia="仿宋_GB2312"/>
          <w:kern w:val="0"/>
          <w:sz w:val="32"/>
          <w:szCs w:val="32"/>
        </w:rPr>
        <w:t>节点支撑、分区引导、集聚发展</w:t>
      </w:r>
      <w:r>
        <w:rPr>
          <w:rFonts w:hint="eastAsia" w:eastAsia="仿宋_GB2312"/>
          <w:kern w:val="0"/>
          <w:sz w:val="32"/>
          <w:szCs w:val="32"/>
        </w:rPr>
        <w:t>”</w:t>
      </w:r>
      <w:r>
        <w:rPr>
          <w:rFonts w:eastAsia="仿宋_GB2312"/>
          <w:kern w:val="0"/>
          <w:sz w:val="32"/>
          <w:szCs w:val="32"/>
        </w:rPr>
        <w:t>的思路，构建</w:t>
      </w:r>
      <w:r>
        <w:rPr>
          <w:rFonts w:hint="eastAsia" w:eastAsia="仿宋_GB2312"/>
          <w:kern w:val="0"/>
          <w:sz w:val="32"/>
          <w:szCs w:val="32"/>
        </w:rPr>
        <w:t>“</w:t>
      </w:r>
      <w:r>
        <w:rPr>
          <w:rFonts w:eastAsia="仿宋_GB2312"/>
          <w:kern w:val="0"/>
          <w:sz w:val="32"/>
          <w:szCs w:val="32"/>
        </w:rPr>
        <w:t>一核双星多节点</w:t>
      </w:r>
      <w:r>
        <w:rPr>
          <w:rFonts w:hint="eastAsia" w:eastAsia="仿宋_GB2312"/>
          <w:kern w:val="0"/>
          <w:sz w:val="32"/>
          <w:szCs w:val="32"/>
        </w:rPr>
        <w:t>”</w:t>
      </w:r>
      <w:r>
        <w:rPr>
          <w:rFonts w:eastAsia="仿宋_GB2312"/>
          <w:kern w:val="0"/>
          <w:sz w:val="32"/>
          <w:szCs w:val="32"/>
        </w:rPr>
        <w:t>的城镇空间格局。</w:t>
      </w:r>
    </w:p>
    <w:p w14:paraId="585A3927">
      <w:pPr>
        <w:spacing w:line="600" w:lineRule="exact"/>
        <w:ind w:firstLine="640" w:firstLineChars="200"/>
        <w:rPr>
          <w:rFonts w:eastAsia="仿宋_GB2312"/>
          <w:kern w:val="0"/>
          <w:sz w:val="32"/>
          <w:szCs w:val="32"/>
        </w:rPr>
      </w:pPr>
      <w:r>
        <w:rPr>
          <w:rFonts w:eastAsia="仿宋_GB2312"/>
          <w:kern w:val="0"/>
          <w:sz w:val="32"/>
          <w:szCs w:val="32"/>
        </w:rPr>
        <w:t>呼包鄂乌一体化发展区域。深入贯彻区域协调</w:t>
      </w:r>
      <w:r>
        <w:rPr>
          <w:rFonts w:hint="eastAsia" w:eastAsia="仿宋_GB2312"/>
          <w:kern w:val="0"/>
          <w:sz w:val="32"/>
          <w:szCs w:val="32"/>
        </w:rPr>
        <w:t>发展</w:t>
      </w:r>
      <w:r>
        <w:rPr>
          <w:rFonts w:eastAsia="仿宋_GB2312"/>
          <w:kern w:val="0"/>
          <w:sz w:val="32"/>
          <w:szCs w:val="32"/>
        </w:rPr>
        <w:t>战略</w:t>
      </w:r>
      <w:r>
        <w:rPr>
          <w:rFonts w:hint="eastAsia" w:eastAsia="仿宋_GB2312"/>
          <w:kern w:val="0"/>
          <w:sz w:val="32"/>
          <w:szCs w:val="32"/>
        </w:rPr>
        <w:t>、区域</w:t>
      </w:r>
      <w:r>
        <w:rPr>
          <w:rFonts w:eastAsia="仿宋_GB2312"/>
          <w:kern w:val="0"/>
          <w:sz w:val="32"/>
          <w:szCs w:val="32"/>
        </w:rPr>
        <w:t>重大发展战略，以呼包鄂榆城市群建设为引领，推动呼包鄂乌发挥资源禀赋和区域优势，扩大环境容量和生态空间，立足产业基础和集群优势实现一体化发展。推动以呼和浩特</w:t>
      </w:r>
      <w:r>
        <w:rPr>
          <w:rFonts w:hint="eastAsia" w:eastAsia="仿宋_GB2312"/>
          <w:kern w:val="0"/>
          <w:sz w:val="32"/>
          <w:szCs w:val="32"/>
        </w:rPr>
        <w:t>市</w:t>
      </w:r>
      <w:r>
        <w:rPr>
          <w:rFonts w:eastAsia="仿宋_GB2312"/>
          <w:kern w:val="0"/>
          <w:sz w:val="32"/>
          <w:szCs w:val="32"/>
        </w:rPr>
        <w:t>为重点发展现代服务型经济，以包头</w:t>
      </w:r>
      <w:r>
        <w:rPr>
          <w:rFonts w:hint="eastAsia" w:eastAsia="仿宋_GB2312"/>
          <w:kern w:val="0"/>
          <w:sz w:val="32"/>
          <w:szCs w:val="32"/>
        </w:rPr>
        <w:t>市</w:t>
      </w:r>
      <w:r>
        <w:rPr>
          <w:rFonts w:eastAsia="仿宋_GB2312"/>
          <w:kern w:val="0"/>
          <w:sz w:val="32"/>
          <w:szCs w:val="32"/>
        </w:rPr>
        <w:t>和鄂尔多斯</w:t>
      </w:r>
      <w:r>
        <w:rPr>
          <w:rFonts w:hint="eastAsia" w:eastAsia="仿宋_GB2312"/>
          <w:kern w:val="0"/>
          <w:sz w:val="32"/>
          <w:szCs w:val="32"/>
        </w:rPr>
        <w:t>市</w:t>
      </w:r>
      <w:r>
        <w:rPr>
          <w:rFonts w:eastAsia="仿宋_GB2312"/>
          <w:kern w:val="0"/>
          <w:sz w:val="32"/>
          <w:szCs w:val="32"/>
        </w:rPr>
        <w:t>为重点建设能源和战略资源基地，以乌兰察布</w:t>
      </w:r>
      <w:r>
        <w:rPr>
          <w:rFonts w:hint="eastAsia" w:eastAsia="仿宋_GB2312"/>
          <w:kern w:val="0"/>
          <w:sz w:val="32"/>
          <w:szCs w:val="32"/>
        </w:rPr>
        <w:t>市</w:t>
      </w:r>
      <w:r>
        <w:rPr>
          <w:rFonts w:eastAsia="仿宋_GB2312"/>
          <w:kern w:val="0"/>
          <w:sz w:val="32"/>
          <w:szCs w:val="32"/>
        </w:rPr>
        <w:t>为重点建设物流枢纽和口岸腹地的核心城市，构建高效分工、错位发展、有序竞争、相互融合、人口资本集聚的现代产业空间布局。</w:t>
      </w:r>
    </w:p>
    <w:p w14:paraId="31582A6F">
      <w:pPr>
        <w:spacing w:line="600" w:lineRule="exact"/>
        <w:ind w:firstLine="640" w:firstLineChars="200"/>
        <w:rPr>
          <w:rFonts w:eastAsia="仿宋_GB2312"/>
          <w:kern w:val="0"/>
          <w:sz w:val="32"/>
          <w:szCs w:val="32"/>
        </w:rPr>
      </w:pPr>
      <w:r>
        <w:rPr>
          <w:rFonts w:eastAsia="仿宋_GB2312"/>
          <w:kern w:val="0"/>
          <w:sz w:val="32"/>
          <w:szCs w:val="32"/>
        </w:rPr>
        <w:t>赤通</w:t>
      </w:r>
      <w:r>
        <w:rPr>
          <w:rFonts w:hint="eastAsia" w:eastAsia="仿宋_GB2312"/>
          <w:kern w:val="0"/>
          <w:sz w:val="32"/>
          <w:szCs w:val="32"/>
        </w:rPr>
        <w:t>“</w:t>
      </w:r>
      <w:r>
        <w:rPr>
          <w:rFonts w:eastAsia="仿宋_GB2312"/>
          <w:kern w:val="0"/>
          <w:sz w:val="32"/>
          <w:szCs w:val="32"/>
        </w:rPr>
        <w:t>双子星</w:t>
      </w:r>
      <w:r>
        <w:rPr>
          <w:rFonts w:hint="eastAsia" w:eastAsia="仿宋_GB2312"/>
          <w:kern w:val="0"/>
          <w:sz w:val="32"/>
          <w:szCs w:val="32"/>
        </w:rPr>
        <w:t>”</w:t>
      </w:r>
      <w:r>
        <w:rPr>
          <w:rFonts w:eastAsia="仿宋_GB2312"/>
          <w:kern w:val="0"/>
          <w:sz w:val="32"/>
          <w:szCs w:val="32"/>
        </w:rPr>
        <w:t>区域中心城市。推动东北</w:t>
      </w:r>
      <w:r>
        <w:rPr>
          <w:rFonts w:hint="eastAsia" w:eastAsia="仿宋_GB2312"/>
          <w:kern w:val="0"/>
          <w:sz w:val="32"/>
          <w:szCs w:val="32"/>
        </w:rPr>
        <w:t>全面</w:t>
      </w:r>
      <w:r>
        <w:rPr>
          <w:rFonts w:eastAsia="仿宋_GB2312"/>
          <w:kern w:val="0"/>
          <w:sz w:val="32"/>
          <w:szCs w:val="32"/>
        </w:rPr>
        <w:t>振兴战略深入实施，积极融入京津冀</w:t>
      </w:r>
      <w:r>
        <w:rPr>
          <w:rFonts w:hint="eastAsia" w:eastAsia="仿宋_GB2312"/>
          <w:kern w:val="0"/>
          <w:sz w:val="32"/>
          <w:szCs w:val="32"/>
        </w:rPr>
        <w:t>协同发展</w:t>
      </w:r>
      <w:r>
        <w:rPr>
          <w:rFonts w:eastAsia="仿宋_GB2312"/>
          <w:kern w:val="0"/>
          <w:sz w:val="32"/>
          <w:szCs w:val="32"/>
        </w:rPr>
        <w:t>，加快推进</w:t>
      </w:r>
      <w:r>
        <w:rPr>
          <w:rFonts w:hint="eastAsia" w:eastAsia="仿宋_GB2312"/>
          <w:kern w:val="0"/>
          <w:sz w:val="32"/>
          <w:szCs w:val="32"/>
        </w:rPr>
        <w:t>赤峰市、通辽市“</w:t>
      </w:r>
      <w:r>
        <w:rPr>
          <w:rFonts w:eastAsia="仿宋_GB2312"/>
          <w:kern w:val="0"/>
          <w:sz w:val="32"/>
          <w:szCs w:val="32"/>
        </w:rPr>
        <w:t>双子星</w:t>
      </w:r>
      <w:r>
        <w:rPr>
          <w:rFonts w:hint="eastAsia" w:eastAsia="仿宋_GB2312"/>
          <w:kern w:val="0"/>
          <w:sz w:val="32"/>
          <w:szCs w:val="32"/>
        </w:rPr>
        <w:t>”</w:t>
      </w:r>
      <w:r>
        <w:rPr>
          <w:rFonts w:eastAsia="仿宋_GB2312"/>
          <w:kern w:val="0"/>
          <w:sz w:val="32"/>
          <w:szCs w:val="32"/>
        </w:rPr>
        <w:t>区域中心城市协同发展，完善区域基础设施和公共服务配套设施体系，推动以赤峰</w:t>
      </w:r>
      <w:r>
        <w:rPr>
          <w:rFonts w:hint="eastAsia" w:eastAsia="仿宋_GB2312"/>
          <w:kern w:val="0"/>
          <w:sz w:val="32"/>
          <w:szCs w:val="32"/>
        </w:rPr>
        <w:t>市</w:t>
      </w:r>
      <w:r>
        <w:rPr>
          <w:rFonts w:eastAsia="仿宋_GB2312"/>
          <w:kern w:val="0"/>
          <w:sz w:val="32"/>
          <w:szCs w:val="32"/>
        </w:rPr>
        <w:t>为</w:t>
      </w:r>
      <w:r>
        <w:rPr>
          <w:rFonts w:hAnsi="仿宋_GB2312" w:eastAsia="仿宋_GB2312"/>
          <w:kern w:val="0"/>
          <w:sz w:val="32"/>
          <w:szCs w:val="32"/>
        </w:rPr>
        <w:t>Ⅱ</w:t>
      </w:r>
      <w:r>
        <w:rPr>
          <w:rFonts w:eastAsia="仿宋_GB2312"/>
          <w:kern w:val="0"/>
          <w:sz w:val="32"/>
          <w:szCs w:val="32"/>
        </w:rPr>
        <w:t>型大城市，通辽</w:t>
      </w:r>
      <w:r>
        <w:rPr>
          <w:rFonts w:hint="eastAsia" w:eastAsia="仿宋_GB2312"/>
          <w:kern w:val="0"/>
          <w:sz w:val="32"/>
          <w:szCs w:val="32"/>
        </w:rPr>
        <w:t>市</w:t>
      </w:r>
      <w:r>
        <w:rPr>
          <w:rFonts w:eastAsia="仿宋_GB2312"/>
          <w:kern w:val="0"/>
          <w:sz w:val="32"/>
          <w:szCs w:val="32"/>
        </w:rPr>
        <w:t>为中等城市，其他小城镇协同发展的自治区级城</w:t>
      </w:r>
      <w:r>
        <w:rPr>
          <w:rFonts w:hint="eastAsia" w:eastAsia="仿宋_GB2312"/>
          <w:kern w:val="0"/>
          <w:sz w:val="32"/>
          <w:szCs w:val="32"/>
        </w:rPr>
        <w:t>镇</w:t>
      </w:r>
      <w:r>
        <w:rPr>
          <w:rFonts w:eastAsia="仿宋_GB2312"/>
          <w:kern w:val="0"/>
          <w:sz w:val="32"/>
          <w:szCs w:val="32"/>
        </w:rPr>
        <w:t>圈建设，形成两个重点明确、功能突出的中心城市和</w:t>
      </w:r>
      <w:r>
        <w:rPr>
          <w:rFonts w:hint="eastAsia" w:eastAsia="仿宋_GB2312"/>
          <w:kern w:val="0"/>
          <w:sz w:val="32"/>
          <w:szCs w:val="32"/>
        </w:rPr>
        <w:t>内蒙古</w:t>
      </w:r>
      <w:r>
        <w:rPr>
          <w:rFonts w:eastAsia="仿宋_GB2312"/>
          <w:kern w:val="0"/>
          <w:sz w:val="32"/>
          <w:szCs w:val="32"/>
        </w:rPr>
        <w:t>自治区东部地区高质量发展带动增长极。</w:t>
      </w:r>
    </w:p>
    <w:p w14:paraId="50F011B4">
      <w:pPr>
        <w:spacing w:line="600" w:lineRule="exact"/>
        <w:ind w:firstLine="640" w:firstLineChars="200"/>
        <w:rPr>
          <w:rFonts w:eastAsia="仿宋_GB2312"/>
          <w:kern w:val="0"/>
          <w:sz w:val="32"/>
          <w:szCs w:val="32"/>
        </w:rPr>
      </w:pPr>
      <w:r>
        <w:rPr>
          <w:rFonts w:hint="eastAsia" w:eastAsia="仿宋_GB2312"/>
          <w:kern w:val="0"/>
          <w:sz w:val="32"/>
          <w:szCs w:val="32"/>
        </w:rPr>
        <w:t>节点城市（镇）</w:t>
      </w:r>
      <w:r>
        <w:rPr>
          <w:rFonts w:eastAsia="仿宋_GB2312"/>
          <w:kern w:val="0"/>
          <w:sz w:val="32"/>
          <w:szCs w:val="32"/>
        </w:rPr>
        <w:t>。统筹区域发展的重要支撑点，依托重要交通干线，发挥比较优势，协调推进中心城市、中心城镇多节点式发展，形成多层级联动、多节点互动的差异化发展方式。</w:t>
      </w:r>
      <w:bookmarkEnd w:id="78"/>
      <w:r>
        <w:rPr>
          <w:rFonts w:eastAsia="仿宋_GB2312"/>
          <w:kern w:val="0"/>
          <w:sz w:val="32"/>
          <w:szCs w:val="32"/>
        </w:rPr>
        <w:t>东部地区放大和发挥绿色生态优势推动高质量发展，构建以</w:t>
      </w:r>
      <w:r>
        <w:rPr>
          <w:rFonts w:hint="eastAsia" w:eastAsia="仿宋_GB2312"/>
          <w:kern w:val="0"/>
          <w:sz w:val="32"/>
          <w:szCs w:val="32"/>
        </w:rPr>
        <w:t>“</w:t>
      </w:r>
      <w:r>
        <w:rPr>
          <w:rFonts w:eastAsia="仿宋_GB2312"/>
          <w:kern w:val="0"/>
          <w:sz w:val="32"/>
          <w:szCs w:val="32"/>
        </w:rPr>
        <w:t>生态+</w:t>
      </w:r>
      <w:r>
        <w:rPr>
          <w:rFonts w:hint="eastAsia" w:eastAsia="仿宋_GB2312"/>
          <w:kern w:val="0"/>
          <w:sz w:val="32"/>
          <w:szCs w:val="32"/>
        </w:rPr>
        <w:t>”</w:t>
      </w:r>
      <w:r>
        <w:rPr>
          <w:rFonts w:eastAsia="仿宋_GB2312"/>
          <w:kern w:val="0"/>
          <w:sz w:val="32"/>
          <w:szCs w:val="32"/>
        </w:rPr>
        <w:t>为支柱的绿色产业体系，高质量建设绿色产业基地；西部地区补齐生态环境短板推动高质量发展，加强黄河流域生态保护和荒漠化治理，加快乌海资源枯竭型城市转型，推进河套地区一二三产业融合发展。</w:t>
      </w:r>
    </w:p>
    <w:bookmarkEnd w:id="13"/>
    <w:p w14:paraId="0205E084">
      <w:pPr>
        <w:spacing w:after="312" w:afterLines="100"/>
        <w:jc w:val="center"/>
        <w:outlineLvl w:val="0"/>
        <w:rPr>
          <w:rFonts w:hint="eastAsia" w:ascii="方正小标宋简体" w:eastAsia="方正小标宋简体"/>
          <w:sz w:val="36"/>
          <w:szCs w:val="32"/>
        </w:rPr>
      </w:pPr>
      <w:bookmarkStart w:id="91" w:name="_Toc58510767"/>
      <w:bookmarkStart w:id="92" w:name="_Toc58266355"/>
      <w:bookmarkStart w:id="93" w:name="_Toc57734254"/>
      <w:r>
        <w:rPr>
          <w:rFonts w:eastAsia="方正小标宋_GBK"/>
          <w:sz w:val="40"/>
          <w:szCs w:val="32"/>
        </w:rPr>
        <w:br w:type="page"/>
      </w:r>
      <w:bookmarkStart w:id="94" w:name="_Toc155861053"/>
      <w:bookmarkStart w:id="95" w:name="_Toc160715631"/>
      <w:r>
        <w:rPr>
          <w:rFonts w:hint="eastAsia" w:ascii="方正小标宋简体" w:eastAsia="方正小标宋简体"/>
          <w:sz w:val="36"/>
          <w:szCs w:val="32"/>
        </w:rPr>
        <w:t>第四章 构建绿色高效农牧空间</w:t>
      </w:r>
      <w:bookmarkEnd w:id="91"/>
      <w:bookmarkEnd w:id="92"/>
      <w:bookmarkEnd w:id="93"/>
      <w:bookmarkEnd w:id="94"/>
      <w:bookmarkEnd w:id="95"/>
    </w:p>
    <w:p w14:paraId="28E578D8">
      <w:pPr>
        <w:spacing w:line="600" w:lineRule="exact"/>
        <w:ind w:firstLine="640" w:firstLineChars="200"/>
        <w:rPr>
          <w:rFonts w:eastAsia="仿宋_GB2312"/>
          <w:sz w:val="32"/>
          <w:szCs w:val="32"/>
        </w:rPr>
      </w:pPr>
      <w:r>
        <w:rPr>
          <w:rFonts w:eastAsia="仿宋_GB2312"/>
          <w:kern w:val="0"/>
          <w:sz w:val="32"/>
          <w:szCs w:val="32"/>
        </w:rPr>
        <w:t>坚持农牧业</w:t>
      </w:r>
      <w:r>
        <w:rPr>
          <w:rFonts w:hint="eastAsia" w:eastAsia="仿宋_GB2312"/>
          <w:kern w:val="0"/>
          <w:sz w:val="32"/>
          <w:szCs w:val="32"/>
        </w:rPr>
        <w:t>、</w:t>
      </w:r>
      <w:r>
        <w:rPr>
          <w:rFonts w:eastAsia="仿宋_GB2312"/>
          <w:kern w:val="0"/>
          <w:sz w:val="32"/>
          <w:szCs w:val="32"/>
        </w:rPr>
        <w:t>农村牧区优先发展，围绕建设国家重要农畜产品生产基地，引导主要农畜产品向优势区域集中，发挥绿色资源优势，推进绿色兴农兴牧，推动农牧业集约化、规模化、高端化发展，促进农牧业产业化、品牌化，加强种质资源保护和利用，加快现代化规模牧场和奶牛自繁自育、牧草基地建设，</w:t>
      </w:r>
      <w:r>
        <w:rPr>
          <w:rFonts w:hint="eastAsia" w:eastAsia="仿宋_GB2312"/>
          <w:kern w:val="0"/>
          <w:sz w:val="32"/>
          <w:szCs w:val="32"/>
        </w:rPr>
        <w:t>实施</w:t>
      </w:r>
      <w:r>
        <w:rPr>
          <w:rFonts w:eastAsia="仿宋_GB2312"/>
          <w:kern w:val="0"/>
          <w:sz w:val="32"/>
          <w:szCs w:val="32"/>
        </w:rPr>
        <w:t>乡村振兴战略，巩固拓展脱贫攻坚成果，打造看得见山、望得见水、记得住乡愁的美丽乡村，构建绿色高效农牧空间。</w:t>
      </w:r>
    </w:p>
    <w:p w14:paraId="397860E4">
      <w:pPr>
        <w:pStyle w:val="3"/>
        <w:spacing w:before="156" w:beforeLines="50" w:after="156" w:afterLines="50" w:line="600" w:lineRule="exact"/>
        <w:rPr>
          <w:rFonts w:ascii="Times New Roman" w:hAnsi="Times New Roman"/>
          <w:b w:val="0"/>
          <w:bCs w:val="0"/>
        </w:rPr>
      </w:pPr>
      <w:bookmarkStart w:id="96" w:name="_Toc57215547"/>
      <w:bookmarkStart w:id="97" w:name="_Toc155861054"/>
      <w:bookmarkStart w:id="98" w:name="_Toc58266356"/>
      <w:bookmarkStart w:id="99" w:name="_Toc28162747"/>
      <w:bookmarkStart w:id="100" w:name="_Toc57734255"/>
      <w:bookmarkStart w:id="101" w:name="_Toc160715632"/>
      <w:bookmarkStart w:id="102" w:name="_Toc41137904"/>
      <w:bookmarkStart w:id="103" w:name="_Toc58857421"/>
      <w:r>
        <w:rPr>
          <w:rFonts w:ascii="Times New Roman" w:hAnsi="Times New Roman"/>
          <w:b w:val="0"/>
          <w:bCs w:val="0"/>
        </w:rPr>
        <w:t>第一节 巩固农牧空间</w:t>
      </w:r>
      <w:bookmarkEnd w:id="96"/>
      <w:bookmarkEnd w:id="97"/>
      <w:bookmarkEnd w:id="98"/>
      <w:bookmarkEnd w:id="99"/>
      <w:bookmarkEnd w:id="100"/>
      <w:bookmarkEnd w:id="101"/>
      <w:bookmarkEnd w:id="102"/>
      <w:bookmarkEnd w:id="103"/>
    </w:p>
    <w:p w14:paraId="4C0CDAD1">
      <w:pPr>
        <w:spacing w:line="600" w:lineRule="exact"/>
        <w:ind w:firstLine="640" w:firstLineChars="200"/>
        <w:rPr>
          <w:rFonts w:eastAsia="仿宋_GB2312"/>
          <w:kern w:val="0"/>
          <w:sz w:val="32"/>
          <w:szCs w:val="32"/>
        </w:rPr>
      </w:pPr>
      <w:bookmarkStart w:id="104" w:name="OLE_LINK22"/>
      <w:r>
        <w:rPr>
          <w:rFonts w:eastAsia="楷体_GB2312"/>
          <w:bCs/>
          <w:kern w:val="0"/>
          <w:sz w:val="32"/>
          <w:szCs w:val="32"/>
        </w:rPr>
        <w:t>发挥农牧区产能优势</w:t>
      </w:r>
      <w:bookmarkEnd w:id="104"/>
      <w:r>
        <w:rPr>
          <w:rFonts w:eastAsia="楷体_GB2312"/>
          <w:bCs/>
          <w:kern w:val="0"/>
          <w:sz w:val="32"/>
          <w:szCs w:val="32"/>
        </w:rPr>
        <w:t>。</w:t>
      </w:r>
      <w:r>
        <w:rPr>
          <w:rFonts w:eastAsia="仿宋_GB2312"/>
          <w:kern w:val="0"/>
          <w:sz w:val="32"/>
          <w:szCs w:val="32"/>
        </w:rPr>
        <w:t>立足资源环境承载能力，坚持水土平衡，</w:t>
      </w:r>
      <w:r>
        <w:rPr>
          <w:rFonts w:hint="eastAsia" w:eastAsia="仿宋_GB2312"/>
          <w:kern w:val="0"/>
          <w:sz w:val="32"/>
          <w:szCs w:val="32"/>
        </w:rPr>
        <w:t>深入</w:t>
      </w:r>
      <w:r>
        <w:rPr>
          <w:rFonts w:eastAsia="仿宋_GB2312"/>
          <w:kern w:val="0"/>
          <w:sz w:val="32"/>
          <w:szCs w:val="32"/>
        </w:rPr>
        <w:t>挖掘耕地、草地后备资源潜力，加大高标准农田建设力度，严格落实耕地保护政策，实</w:t>
      </w:r>
      <w:r>
        <w:rPr>
          <w:rFonts w:hint="eastAsia" w:eastAsia="仿宋_GB2312"/>
          <w:kern w:val="0"/>
          <w:sz w:val="32"/>
          <w:szCs w:val="32"/>
        </w:rPr>
        <w:t>施“藏粮于地、藏粮于技”</w:t>
      </w:r>
      <w:r>
        <w:rPr>
          <w:rFonts w:eastAsia="仿宋_GB2312"/>
          <w:kern w:val="0"/>
          <w:sz w:val="32"/>
          <w:szCs w:val="32"/>
        </w:rPr>
        <w:t>战略，发展优势特色农畜产业，着力提高农牧业资源综合利用率和产业精深加工度，鼓励适度规模经营，稳定提高粮食生产能力。</w:t>
      </w:r>
    </w:p>
    <w:p w14:paraId="0A223370">
      <w:pPr>
        <w:spacing w:line="600" w:lineRule="exact"/>
        <w:ind w:firstLine="640" w:firstLineChars="200"/>
        <w:rPr>
          <w:rFonts w:eastAsia="仿宋_GB2312"/>
          <w:kern w:val="0"/>
          <w:sz w:val="32"/>
          <w:szCs w:val="32"/>
        </w:rPr>
      </w:pPr>
      <w:r>
        <w:rPr>
          <w:rFonts w:eastAsia="仿宋_GB2312"/>
          <w:kern w:val="0"/>
          <w:sz w:val="32"/>
          <w:szCs w:val="32"/>
        </w:rPr>
        <w:t>大兴安岭沿麓农牧区。加大黑土地保护利用力度，实施黑土地保护性耕作，提高水土保持能力。西麓地区加强现状耕地保护，</w:t>
      </w:r>
      <w:r>
        <w:rPr>
          <w:rFonts w:hint="eastAsia" w:eastAsia="仿宋_GB2312"/>
          <w:kern w:val="0"/>
          <w:sz w:val="32"/>
          <w:szCs w:val="32"/>
        </w:rPr>
        <w:t>合理安排耕地后备资源开发</w:t>
      </w:r>
      <w:r>
        <w:rPr>
          <w:rFonts w:eastAsia="仿宋_GB2312"/>
          <w:kern w:val="0"/>
          <w:sz w:val="32"/>
          <w:szCs w:val="32"/>
        </w:rPr>
        <w:t>。东麓地区鼓励规模化生产和养殖，提升农畜产品产能，重点建设玉米、大豆、水稻、马铃薯、奶牛、肉羊、肉牛等农畜产品生产加工基地。</w:t>
      </w:r>
    </w:p>
    <w:p w14:paraId="4C714C29">
      <w:pPr>
        <w:spacing w:line="600" w:lineRule="exact"/>
        <w:ind w:firstLine="640" w:firstLineChars="200"/>
        <w:rPr>
          <w:rFonts w:eastAsia="仿宋_GB2312"/>
          <w:kern w:val="0"/>
          <w:sz w:val="32"/>
          <w:szCs w:val="32"/>
        </w:rPr>
      </w:pPr>
      <w:r>
        <w:rPr>
          <w:rFonts w:eastAsia="仿宋_GB2312"/>
          <w:kern w:val="0"/>
          <w:sz w:val="32"/>
          <w:szCs w:val="32"/>
        </w:rPr>
        <w:t>西辽河流域农牧区。加强风沙危害治理和盐碱地</w:t>
      </w:r>
      <w:r>
        <w:rPr>
          <w:rFonts w:hint="eastAsia" w:eastAsia="仿宋_GB2312"/>
          <w:kern w:val="0"/>
          <w:sz w:val="32"/>
          <w:szCs w:val="32"/>
        </w:rPr>
        <w:t>综合改造利用</w:t>
      </w:r>
      <w:r>
        <w:rPr>
          <w:rFonts w:eastAsia="仿宋_GB2312"/>
          <w:kern w:val="0"/>
          <w:sz w:val="32"/>
          <w:szCs w:val="32"/>
        </w:rPr>
        <w:t>，坚持以水定地，严格控制超采地下水，推进水土平衡。丘陵区大力发展旱作农业</w:t>
      </w:r>
      <w:r>
        <w:rPr>
          <w:rFonts w:hint="eastAsia" w:eastAsia="仿宋_GB2312"/>
          <w:kern w:val="0"/>
          <w:sz w:val="32"/>
          <w:szCs w:val="32"/>
        </w:rPr>
        <w:t>，</w:t>
      </w:r>
      <w:r>
        <w:rPr>
          <w:rFonts w:eastAsia="仿宋_GB2312"/>
          <w:kern w:val="0"/>
          <w:sz w:val="32"/>
          <w:szCs w:val="32"/>
        </w:rPr>
        <w:t>平原区开展高标准节水农田建设，引导土地流转，发展适度规模经营，重点建设优质玉米、设施蔬菜、杂粮杂豆、肉牛、奶牛等农畜产品生产加工基地。</w:t>
      </w:r>
    </w:p>
    <w:p w14:paraId="20E11147">
      <w:pPr>
        <w:spacing w:line="600" w:lineRule="exact"/>
        <w:ind w:firstLine="640" w:firstLineChars="200"/>
        <w:rPr>
          <w:rFonts w:eastAsia="仿宋_GB2312"/>
          <w:kern w:val="0"/>
          <w:sz w:val="32"/>
          <w:szCs w:val="32"/>
        </w:rPr>
      </w:pPr>
      <w:r>
        <w:rPr>
          <w:rFonts w:eastAsia="仿宋_GB2312"/>
          <w:kern w:val="0"/>
          <w:sz w:val="32"/>
          <w:szCs w:val="32"/>
        </w:rPr>
        <w:t>阴山沿麓农牧区。坚持宜农则农、宜牧则牧、宜养则养的国土空间适宜性，推广农牧结合、粮草兼顾、生态循环用地模式，制止种植业无序扩张。北麓地区严禁在草原区、干旱区开垦耕地，严格控制地下水灌溉面积，推广水肥一体化技术，发展旱作农业和非土基农业。南麓地区保障必要的种养殖用地需求，重点建设马铃薯、蔬菜、向日葵、杂粮杂豆、肉羊、奶牛、奶羊等农畜产品生产加工基地。</w:t>
      </w:r>
    </w:p>
    <w:p w14:paraId="688DA742">
      <w:pPr>
        <w:spacing w:line="600" w:lineRule="exact"/>
        <w:ind w:firstLine="640" w:firstLineChars="200"/>
        <w:rPr>
          <w:rFonts w:eastAsia="仿宋"/>
          <w:sz w:val="32"/>
          <w:szCs w:val="32"/>
        </w:rPr>
      </w:pPr>
      <w:r>
        <w:rPr>
          <w:rFonts w:eastAsia="仿宋_GB2312"/>
          <w:kern w:val="0"/>
          <w:sz w:val="32"/>
          <w:szCs w:val="32"/>
        </w:rPr>
        <w:t>沿黄干流平原农牧区。大力发展高效节水农业，逐步改变传统大水漫灌方式，提高农田灌溉水利用效率，培肥土壤，</w:t>
      </w:r>
      <w:r>
        <w:rPr>
          <w:rFonts w:hint="eastAsia" w:eastAsia="仿宋_GB2312"/>
          <w:kern w:val="0"/>
          <w:sz w:val="32"/>
          <w:szCs w:val="32"/>
        </w:rPr>
        <w:t>综合改造利用</w:t>
      </w:r>
      <w:r>
        <w:rPr>
          <w:rFonts w:eastAsia="仿宋_GB2312"/>
          <w:kern w:val="0"/>
          <w:sz w:val="32"/>
          <w:szCs w:val="32"/>
        </w:rPr>
        <w:t>盐碱地，提高耕地质量，实施小块并大块农田改造，推行规模化生产和养殖，重点建设玉米、小麦、向日葵、蔬菜、奶牛、肉牛、肉羊等农畜产品生产加工基地。</w:t>
      </w:r>
    </w:p>
    <w:p w14:paraId="77A3727D">
      <w:pPr>
        <w:pStyle w:val="27"/>
        <w:spacing w:after="0" w:line="600" w:lineRule="exact"/>
        <w:ind w:left="0" w:leftChars="0" w:firstLine="640" w:firstLineChars="200"/>
        <w:rPr>
          <w:rFonts w:hint="eastAsia" w:eastAsia="仿宋_GB2312"/>
          <w:kern w:val="0"/>
          <w:sz w:val="32"/>
          <w:szCs w:val="32"/>
        </w:rPr>
      </w:pPr>
      <w:r>
        <w:rPr>
          <w:rFonts w:hint="eastAsia" w:ascii="楷体_GB2312" w:hAnsi="楷体_GB2312" w:eastAsia="楷体_GB2312" w:cs="楷体_GB2312"/>
          <w:kern w:val="0"/>
          <w:sz w:val="32"/>
          <w:szCs w:val="32"/>
        </w:rPr>
        <w:t>控制</w:t>
      </w:r>
      <w:bookmarkStart w:id="105" w:name="OLE_LINK21"/>
      <w:r>
        <w:rPr>
          <w:rFonts w:hint="eastAsia" w:ascii="楷体_GB2312" w:hAnsi="楷体_GB2312" w:eastAsia="楷体_GB2312" w:cs="楷体_GB2312"/>
          <w:kern w:val="0"/>
          <w:sz w:val="32"/>
          <w:szCs w:val="32"/>
        </w:rPr>
        <w:t>草原</w:t>
      </w:r>
      <w:bookmarkEnd w:id="105"/>
      <w:r>
        <w:rPr>
          <w:rFonts w:hint="eastAsia" w:ascii="楷体_GB2312" w:hAnsi="楷体_GB2312" w:eastAsia="楷体_GB2312" w:cs="楷体_GB2312"/>
          <w:kern w:val="0"/>
          <w:sz w:val="32"/>
          <w:szCs w:val="32"/>
        </w:rPr>
        <w:t>载畜量。</w:t>
      </w:r>
      <w:r>
        <w:rPr>
          <w:rFonts w:eastAsia="仿宋_GB2312"/>
          <w:kern w:val="0"/>
          <w:sz w:val="32"/>
          <w:szCs w:val="32"/>
        </w:rPr>
        <w:t>统筹协调草甸草原、典型草原、荒漠草原、草原化荒漠畜牧业发展与草原保护的关系，坚持以草定畜、草畜平衡，严防超载过牧，引导生态保护红线内原住</w:t>
      </w:r>
      <w:r>
        <w:rPr>
          <w:rFonts w:hint="eastAsia" w:eastAsia="仿宋_GB2312"/>
          <w:kern w:val="0"/>
          <w:sz w:val="32"/>
          <w:szCs w:val="32"/>
        </w:rPr>
        <w:t>居</w:t>
      </w:r>
      <w:r>
        <w:rPr>
          <w:rFonts w:eastAsia="仿宋_GB2312"/>
          <w:kern w:val="0"/>
          <w:sz w:val="32"/>
          <w:szCs w:val="32"/>
        </w:rPr>
        <w:t>民向边境地区和中心城镇转移，支持发展家庭牧场，严格实施禁牧、休牧、划区轮牧制度，减轻牲畜对草原的压力，防止草原退化、沙化和盐渍化。种植多年生乡土草种，增加优质饲草产量，发展牛羊圈养舍饲生产，增强畜牧业生产能力。</w:t>
      </w:r>
    </w:p>
    <w:p w14:paraId="0D441249">
      <w:pPr>
        <w:pStyle w:val="3"/>
        <w:spacing w:before="156" w:beforeLines="50" w:after="156" w:afterLines="50" w:line="600" w:lineRule="exact"/>
        <w:rPr>
          <w:rFonts w:ascii="Times New Roman" w:hAnsi="Times New Roman"/>
          <w:b w:val="0"/>
          <w:bCs w:val="0"/>
        </w:rPr>
      </w:pPr>
      <w:bookmarkStart w:id="106" w:name="_Toc160715633"/>
      <w:bookmarkStart w:id="107" w:name="_Toc155861055"/>
      <w:bookmarkStart w:id="108" w:name="_Toc57734258"/>
      <w:bookmarkStart w:id="109" w:name="_Toc58266359"/>
      <w:bookmarkStart w:id="110" w:name="_Toc58510770"/>
      <w:r>
        <w:rPr>
          <w:rFonts w:ascii="Times New Roman" w:hAnsi="Times New Roman"/>
          <w:b w:val="0"/>
          <w:bCs w:val="0"/>
        </w:rPr>
        <w:t>第二节 加强耕地保护</w:t>
      </w:r>
      <w:bookmarkEnd w:id="106"/>
      <w:bookmarkEnd w:id="107"/>
    </w:p>
    <w:p w14:paraId="598C01EF">
      <w:pPr>
        <w:pStyle w:val="27"/>
        <w:spacing w:after="0"/>
        <w:ind w:left="0" w:leftChars="0" w:firstLine="632" w:firstLineChars="200"/>
        <w:rPr>
          <w:rFonts w:eastAsia="仿宋_GB2312"/>
          <w:kern w:val="0"/>
          <w:sz w:val="32"/>
          <w:szCs w:val="32"/>
        </w:rPr>
      </w:pPr>
      <w:r>
        <w:rPr>
          <w:rFonts w:eastAsia="楷体_GB2312"/>
          <w:bCs/>
          <w:spacing w:val="-2"/>
          <w:kern w:val="0"/>
          <w:sz w:val="32"/>
          <w:szCs w:val="32"/>
        </w:rPr>
        <w:t>严控耕地</w:t>
      </w:r>
      <w:r>
        <w:rPr>
          <w:rFonts w:hint="eastAsia" w:ascii="楷体_GB2312" w:eastAsia="楷体_GB2312"/>
          <w:kern w:val="0"/>
          <w:sz w:val="32"/>
          <w:szCs w:val="32"/>
        </w:rPr>
        <w:t>“</w:t>
      </w:r>
      <w:r>
        <w:rPr>
          <w:rFonts w:hint="eastAsia" w:ascii="楷体_GB2312" w:eastAsia="楷体_GB2312"/>
          <w:bCs/>
          <w:spacing w:val="-2"/>
          <w:kern w:val="0"/>
          <w:sz w:val="32"/>
          <w:szCs w:val="32"/>
        </w:rPr>
        <w:t>非农化</w:t>
      </w:r>
      <w:r>
        <w:rPr>
          <w:rFonts w:hint="eastAsia" w:ascii="楷体_GB2312" w:eastAsia="楷体_GB2312"/>
          <w:kern w:val="0"/>
          <w:sz w:val="32"/>
          <w:szCs w:val="32"/>
        </w:rPr>
        <w:t>”</w:t>
      </w:r>
      <w:r>
        <w:rPr>
          <w:rFonts w:eastAsia="楷体_GB2312"/>
          <w:bCs/>
          <w:spacing w:val="-2"/>
          <w:kern w:val="0"/>
          <w:sz w:val="32"/>
          <w:szCs w:val="32"/>
        </w:rPr>
        <w:t>。</w:t>
      </w:r>
      <w:r>
        <w:rPr>
          <w:rFonts w:eastAsia="仿宋_GB2312"/>
          <w:spacing w:val="-2"/>
          <w:kern w:val="0"/>
          <w:sz w:val="32"/>
          <w:szCs w:val="32"/>
        </w:rPr>
        <w:t>从严控制建设占用耕地特别是优质耕地，严格落实耕地占补平衡，执行占用耕地</w:t>
      </w:r>
      <w:r>
        <w:rPr>
          <w:rFonts w:hint="eastAsia" w:eastAsia="仿宋_GB2312"/>
          <w:spacing w:val="-2"/>
          <w:kern w:val="0"/>
          <w:sz w:val="32"/>
          <w:szCs w:val="32"/>
        </w:rPr>
        <w:t>保护</w:t>
      </w:r>
      <w:r>
        <w:rPr>
          <w:rFonts w:eastAsia="仿宋_GB2312"/>
          <w:spacing w:val="-2"/>
          <w:kern w:val="0"/>
          <w:sz w:val="32"/>
          <w:szCs w:val="32"/>
        </w:rPr>
        <w:t>补偿制度，完善违法建设占用耕地</w:t>
      </w:r>
      <w:r>
        <w:rPr>
          <w:rFonts w:hint="eastAsia" w:eastAsia="仿宋_GB2312"/>
          <w:spacing w:val="-2"/>
          <w:kern w:val="0"/>
          <w:sz w:val="32"/>
          <w:szCs w:val="32"/>
        </w:rPr>
        <w:t>处置</w:t>
      </w:r>
      <w:r>
        <w:rPr>
          <w:rFonts w:eastAsia="仿宋_GB2312"/>
          <w:spacing w:val="-2"/>
          <w:kern w:val="0"/>
          <w:sz w:val="32"/>
          <w:szCs w:val="32"/>
        </w:rPr>
        <w:t>与使用存量建设用地指标相挂钩机制。建设项目占用耕地应切实履行</w:t>
      </w:r>
      <w:r>
        <w:rPr>
          <w:rFonts w:hint="eastAsia" w:eastAsia="仿宋_GB2312"/>
          <w:kern w:val="0"/>
          <w:sz w:val="32"/>
          <w:szCs w:val="32"/>
        </w:rPr>
        <w:t>“</w:t>
      </w:r>
      <w:r>
        <w:rPr>
          <w:rFonts w:eastAsia="仿宋_GB2312"/>
          <w:spacing w:val="-2"/>
          <w:kern w:val="0"/>
          <w:sz w:val="32"/>
          <w:szCs w:val="32"/>
        </w:rPr>
        <w:t>先补后占、占一补一、占优补优、占水田补水田</w:t>
      </w:r>
      <w:r>
        <w:rPr>
          <w:rFonts w:hint="eastAsia" w:eastAsia="仿宋_GB2312"/>
          <w:kern w:val="0"/>
          <w:sz w:val="32"/>
          <w:szCs w:val="32"/>
        </w:rPr>
        <w:t>”</w:t>
      </w:r>
      <w:r>
        <w:rPr>
          <w:rFonts w:eastAsia="仿宋_GB2312"/>
          <w:spacing w:val="-2"/>
          <w:kern w:val="0"/>
          <w:sz w:val="32"/>
          <w:szCs w:val="32"/>
        </w:rPr>
        <w:t>的占补平衡要求。非农建设涉及占用黑土耕地，应在黑土区范围内统筹落实补充耕地任务。各地区建设项目选址应充分考虑辖区内补充耕地储备情况，耕地占补平衡以</w:t>
      </w:r>
      <w:r>
        <w:rPr>
          <w:rFonts w:hint="eastAsia" w:eastAsia="仿宋_GB2312"/>
          <w:spacing w:val="-2"/>
          <w:kern w:val="0"/>
          <w:sz w:val="32"/>
          <w:szCs w:val="32"/>
        </w:rPr>
        <w:t>旗</w:t>
      </w:r>
      <w:r>
        <w:rPr>
          <w:rFonts w:eastAsia="仿宋_GB2312"/>
          <w:spacing w:val="-2"/>
          <w:kern w:val="0"/>
          <w:sz w:val="32"/>
          <w:szCs w:val="32"/>
        </w:rPr>
        <w:t>县域自行平衡为主、</w:t>
      </w:r>
      <w:r>
        <w:rPr>
          <w:rFonts w:hint="eastAsia" w:eastAsia="仿宋_GB2312"/>
          <w:spacing w:val="-2"/>
          <w:kern w:val="0"/>
          <w:sz w:val="32"/>
          <w:szCs w:val="32"/>
        </w:rPr>
        <w:t>盟</w:t>
      </w:r>
      <w:r>
        <w:rPr>
          <w:rFonts w:eastAsia="仿宋_GB2312"/>
          <w:spacing w:val="-2"/>
          <w:kern w:val="0"/>
          <w:sz w:val="32"/>
          <w:szCs w:val="32"/>
        </w:rPr>
        <w:t>市域内调剂为辅、自治区适度统筹为补充。严格非农建设占用耕地和补充耕地的绩效考核，加强过程监管。健全耕地保护和粮食安全责任制考核，层层签订耕地保护和粮食安全责任书，压实耕地保护主体责任，对耕地保护和粮食安全责任完成情况定期考核，坚持</w:t>
      </w:r>
      <w:r>
        <w:rPr>
          <w:rFonts w:hint="eastAsia" w:eastAsia="仿宋_GB2312"/>
          <w:spacing w:val="-2"/>
          <w:kern w:val="0"/>
          <w:sz w:val="32"/>
          <w:szCs w:val="32"/>
        </w:rPr>
        <w:t>地方各级</w:t>
      </w:r>
      <w:r>
        <w:rPr>
          <w:rFonts w:eastAsia="仿宋_GB2312"/>
          <w:spacing w:val="-2"/>
          <w:kern w:val="0"/>
          <w:sz w:val="32"/>
          <w:szCs w:val="32"/>
        </w:rPr>
        <w:t>党政同责、终身追责。</w:t>
      </w:r>
    </w:p>
    <w:p w14:paraId="16806433">
      <w:pPr>
        <w:spacing w:line="600" w:lineRule="exact"/>
        <w:ind w:firstLine="640" w:firstLineChars="200"/>
        <w:rPr>
          <w:rFonts w:eastAsia="仿宋_GB2312"/>
          <w:kern w:val="0"/>
          <w:sz w:val="32"/>
          <w:szCs w:val="32"/>
        </w:rPr>
      </w:pPr>
      <w:r>
        <w:rPr>
          <w:rFonts w:eastAsia="楷体_GB2312"/>
          <w:bCs/>
          <w:kern w:val="0"/>
          <w:sz w:val="32"/>
          <w:szCs w:val="32"/>
        </w:rPr>
        <w:t>提升耕地质量。</w:t>
      </w:r>
      <w:r>
        <w:rPr>
          <w:rFonts w:eastAsia="仿宋_GB2312"/>
          <w:kern w:val="0"/>
          <w:sz w:val="32"/>
          <w:szCs w:val="32"/>
        </w:rPr>
        <w:t>加强耕地和黑土地保护提升，建立耕地质量监测系统。强化西辽河平原退化耕地综合治理、污染耕地阻控修复，加大对退化耕地、污染耕地、缓坡耕地的整治力度，提高耕地质量等级。推进建设占用耕地表土层剥离再利用，将符合土地整治条件的耕地纳入高标准农田建设范围。</w:t>
      </w:r>
    </w:p>
    <w:p w14:paraId="6D21CC5A">
      <w:pPr>
        <w:spacing w:line="600" w:lineRule="exact"/>
        <w:ind w:firstLine="640" w:firstLineChars="200"/>
        <w:rPr>
          <w:rFonts w:eastAsia="仿宋_GB2312"/>
          <w:kern w:val="0"/>
          <w:sz w:val="32"/>
          <w:szCs w:val="32"/>
        </w:rPr>
      </w:pPr>
      <w:r>
        <w:rPr>
          <w:rFonts w:eastAsia="楷体_GB2312"/>
          <w:bCs/>
          <w:kern w:val="0"/>
          <w:sz w:val="32"/>
          <w:szCs w:val="32"/>
        </w:rPr>
        <w:t>强化耕地生态保护。</w:t>
      </w:r>
      <w:r>
        <w:rPr>
          <w:rFonts w:eastAsia="仿宋_GB2312"/>
          <w:kern w:val="0"/>
          <w:sz w:val="32"/>
          <w:szCs w:val="32"/>
        </w:rPr>
        <w:t>因地制宜实施免耕少耕、深松浅翻、配方施肥、轮作等保护性耕</w:t>
      </w:r>
      <w:r>
        <w:rPr>
          <w:rFonts w:hint="eastAsia" w:eastAsia="仿宋_GB2312"/>
          <w:kern w:val="0"/>
          <w:sz w:val="32"/>
          <w:szCs w:val="32"/>
        </w:rPr>
        <w:t>作</w:t>
      </w:r>
      <w:r>
        <w:rPr>
          <w:rFonts w:eastAsia="仿宋_GB2312"/>
          <w:kern w:val="0"/>
          <w:sz w:val="32"/>
          <w:szCs w:val="32"/>
        </w:rPr>
        <w:t>制度，</w:t>
      </w:r>
      <w:r>
        <w:rPr>
          <w:rFonts w:hint="eastAsia" w:eastAsia="仿宋_GB2312"/>
          <w:kern w:val="0"/>
          <w:sz w:val="32"/>
          <w:szCs w:val="32"/>
        </w:rPr>
        <w:t>强化</w:t>
      </w:r>
      <w:r>
        <w:rPr>
          <w:rFonts w:eastAsia="仿宋_GB2312"/>
          <w:kern w:val="0"/>
          <w:sz w:val="32"/>
          <w:szCs w:val="32"/>
        </w:rPr>
        <w:t>用地与养地相结合。加强农田防护林体系建设，增强其生态防护功能。在确保耕地数量不减少、质量不降低的前提下，对大兴安岭水源涵养区、阴山北麓防沙带、黄土丘陵沟壑水土流失区、地下水超采区内难以或不宜长期稳定利用耕地</w:t>
      </w:r>
      <w:r>
        <w:rPr>
          <w:rFonts w:hint="eastAsia" w:eastAsia="仿宋_GB2312"/>
          <w:kern w:val="0"/>
          <w:sz w:val="32"/>
          <w:szCs w:val="32"/>
        </w:rPr>
        <w:t>，</w:t>
      </w:r>
      <w:r>
        <w:rPr>
          <w:rFonts w:eastAsia="仿宋_GB2312"/>
          <w:kern w:val="0"/>
          <w:sz w:val="32"/>
          <w:szCs w:val="32"/>
        </w:rPr>
        <w:t>逐步置换为可长期稳定利用耕地。</w:t>
      </w:r>
    </w:p>
    <w:p w14:paraId="11ACF9BB">
      <w:pPr>
        <w:pStyle w:val="27"/>
        <w:spacing w:after="0" w:line="600" w:lineRule="exact"/>
        <w:ind w:left="0" w:leftChars="0" w:firstLine="616" w:firstLineChars="200"/>
        <w:rPr>
          <w:rFonts w:eastAsia="仿宋_GB2312"/>
          <w:spacing w:val="-6"/>
          <w:kern w:val="0"/>
          <w:sz w:val="32"/>
          <w:szCs w:val="32"/>
        </w:rPr>
      </w:pPr>
      <w:r>
        <w:rPr>
          <w:rFonts w:eastAsia="楷体_GB2312"/>
          <w:bCs/>
          <w:spacing w:val="-6"/>
          <w:kern w:val="0"/>
          <w:sz w:val="32"/>
          <w:szCs w:val="32"/>
        </w:rPr>
        <w:t>有序实施耕地整理开发</w:t>
      </w:r>
      <w:r>
        <w:rPr>
          <w:rFonts w:eastAsia="楷体_GB2312"/>
          <w:spacing w:val="-6"/>
          <w:sz w:val="32"/>
          <w:szCs w:val="32"/>
        </w:rPr>
        <w:t>和战略储备</w:t>
      </w:r>
      <w:r>
        <w:rPr>
          <w:rFonts w:eastAsia="楷体_GB2312"/>
          <w:bCs/>
          <w:spacing w:val="-6"/>
          <w:kern w:val="0"/>
          <w:sz w:val="32"/>
          <w:szCs w:val="32"/>
        </w:rPr>
        <w:t>。</w:t>
      </w:r>
      <w:r>
        <w:rPr>
          <w:rFonts w:eastAsia="仿宋_GB2312"/>
          <w:spacing w:val="-6"/>
          <w:kern w:val="0"/>
          <w:sz w:val="32"/>
          <w:szCs w:val="32"/>
        </w:rPr>
        <w:t>依据国家法律法规和有关政策规定要求，以生态优先为前提，以耕地后备资源调查成果为基础，充分考虑水资源承载能力、生态区位重要</w:t>
      </w:r>
      <w:r>
        <w:rPr>
          <w:rFonts w:hint="eastAsia" w:eastAsia="仿宋_GB2312"/>
          <w:spacing w:val="-6"/>
          <w:kern w:val="0"/>
          <w:sz w:val="32"/>
          <w:szCs w:val="32"/>
        </w:rPr>
        <w:t>性</w:t>
      </w:r>
      <w:r>
        <w:rPr>
          <w:rFonts w:eastAsia="仿宋_GB2312"/>
          <w:spacing w:val="-6"/>
          <w:kern w:val="0"/>
          <w:sz w:val="32"/>
          <w:szCs w:val="32"/>
        </w:rPr>
        <w:t>或生态脆弱性，优先在大兴安岭沿麓、西辽河流域、阴山沿麓、沿黄干流平原等耕地后备资源潜力较大的地区开展</w:t>
      </w:r>
      <w:r>
        <w:rPr>
          <w:rFonts w:eastAsia="仿宋_GB2312"/>
          <w:spacing w:val="-6"/>
          <w:sz w:val="32"/>
          <w:szCs w:val="32"/>
        </w:rPr>
        <w:t>土地</w:t>
      </w:r>
      <w:r>
        <w:rPr>
          <w:rFonts w:eastAsia="仿宋_GB2312"/>
          <w:spacing w:val="-6"/>
          <w:kern w:val="0"/>
          <w:sz w:val="32"/>
          <w:szCs w:val="32"/>
        </w:rPr>
        <w:t>开发。在河套平原地区，开展盐碱化、沙化、撂荒耕地整治；在西辽河</w:t>
      </w:r>
      <w:r>
        <w:rPr>
          <w:rFonts w:hint="eastAsia" w:eastAsia="仿宋_GB2312"/>
          <w:spacing w:val="-6"/>
          <w:kern w:val="0"/>
          <w:sz w:val="32"/>
          <w:szCs w:val="32"/>
        </w:rPr>
        <w:t>平原</w:t>
      </w:r>
      <w:r>
        <w:rPr>
          <w:rFonts w:eastAsia="仿宋_GB2312"/>
          <w:spacing w:val="-6"/>
          <w:kern w:val="0"/>
          <w:sz w:val="32"/>
          <w:szCs w:val="32"/>
        </w:rPr>
        <w:t>农田集中区，开展盐碱化和沙化土地综合治理；在嫩江流域，</w:t>
      </w:r>
      <w:r>
        <w:rPr>
          <w:rFonts w:hint="eastAsia" w:eastAsia="仿宋_GB2312"/>
          <w:spacing w:val="-6"/>
          <w:kern w:val="0"/>
          <w:sz w:val="32"/>
          <w:szCs w:val="32"/>
        </w:rPr>
        <w:t>加大</w:t>
      </w:r>
      <w:r>
        <w:rPr>
          <w:rFonts w:eastAsia="仿宋_GB2312"/>
          <w:spacing w:val="-6"/>
          <w:kern w:val="0"/>
          <w:sz w:val="32"/>
          <w:szCs w:val="32"/>
        </w:rPr>
        <w:t>黑土地保护</w:t>
      </w:r>
      <w:r>
        <w:rPr>
          <w:rFonts w:hint="eastAsia" w:eastAsia="仿宋_GB2312"/>
          <w:spacing w:val="-6"/>
          <w:kern w:val="0"/>
          <w:sz w:val="32"/>
          <w:szCs w:val="32"/>
        </w:rPr>
        <w:t>力度</w:t>
      </w:r>
      <w:r>
        <w:rPr>
          <w:rFonts w:eastAsia="仿宋_GB2312"/>
          <w:spacing w:val="-6"/>
          <w:kern w:val="0"/>
          <w:sz w:val="32"/>
          <w:szCs w:val="32"/>
        </w:rPr>
        <w:t>。</w:t>
      </w:r>
    </w:p>
    <w:p w14:paraId="61237703">
      <w:pPr>
        <w:spacing w:line="600" w:lineRule="exact"/>
        <w:ind w:firstLine="640" w:firstLineChars="200"/>
        <w:rPr>
          <w:rFonts w:eastAsia="仿宋_GB2312"/>
          <w:kern w:val="0"/>
          <w:sz w:val="32"/>
          <w:szCs w:val="32"/>
        </w:rPr>
      </w:pPr>
      <w:r>
        <w:rPr>
          <w:rFonts w:eastAsia="楷体_GB2312"/>
          <w:bCs/>
          <w:kern w:val="0"/>
          <w:sz w:val="32"/>
          <w:szCs w:val="32"/>
        </w:rPr>
        <w:t>加强永久基本农田保护和建设。</w:t>
      </w:r>
      <w:r>
        <w:rPr>
          <w:rFonts w:eastAsia="仿宋_GB2312"/>
          <w:kern w:val="0"/>
          <w:sz w:val="32"/>
          <w:szCs w:val="32"/>
        </w:rPr>
        <w:t>积极推进在永久基本农田保护范围内</w:t>
      </w:r>
      <w:r>
        <w:rPr>
          <w:rFonts w:hint="eastAsia" w:eastAsia="仿宋_GB2312"/>
          <w:kern w:val="0"/>
          <w:sz w:val="32"/>
          <w:szCs w:val="32"/>
        </w:rPr>
        <w:t>的</w:t>
      </w:r>
      <w:r>
        <w:rPr>
          <w:rFonts w:eastAsia="仿宋_GB2312"/>
          <w:kern w:val="0"/>
          <w:sz w:val="32"/>
          <w:szCs w:val="32"/>
        </w:rPr>
        <w:t>高标准农田建设，逐步将永久基本农田全部建成高标准农田，通过土地整治和新建高标准农田增加的优质耕地应当优先补划为永久基本农田。加大永久基本农田监管力度，经依法批准确需占用的，应先补建后占用。在永久基本农田集中分布地区，不得规划新建可能造成污染的建设项目。永久基本农田经依法划定后，任何单位和个人不得擅自占用或者改变其用途，永久基本农田不得转为林地、草地、园地等其他农用地及农业设施</w:t>
      </w:r>
      <w:r>
        <w:rPr>
          <w:rFonts w:hint="eastAsia" w:eastAsia="仿宋_GB2312"/>
          <w:kern w:val="0"/>
          <w:sz w:val="32"/>
          <w:szCs w:val="32"/>
        </w:rPr>
        <w:t>建设</w:t>
      </w:r>
      <w:r>
        <w:rPr>
          <w:rFonts w:eastAsia="仿宋_GB2312"/>
          <w:kern w:val="0"/>
          <w:sz w:val="32"/>
          <w:szCs w:val="32"/>
        </w:rPr>
        <w:t>用地，严禁占用永久基本农田发展林果业、挖塘养鱼、挖湖造景、建设绿化带及种植苗木、草皮等用于绿化装饰以及其他破坏耕作层的植物，严禁新增占用永久基本农田建设畜禽养殖设施、水产养殖设施和破坏耕作层的种植业设施</w:t>
      </w:r>
      <w:r>
        <w:rPr>
          <w:rFonts w:hint="eastAsia" w:eastAsia="仿宋_GB2312"/>
          <w:kern w:val="0"/>
          <w:sz w:val="32"/>
          <w:szCs w:val="32"/>
        </w:rPr>
        <w:t>。</w:t>
      </w:r>
      <w:r>
        <w:rPr>
          <w:rFonts w:eastAsia="仿宋_GB2312"/>
          <w:kern w:val="0"/>
          <w:sz w:val="32"/>
          <w:szCs w:val="32"/>
        </w:rPr>
        <w:t>严格永久基本农田占用与补划，国家能源、交通、水利、军事设施等重点建设项目确实难以避让永久基本农田的，应严格占用和补划的审查论证，涉及农用地转用或者土地征收的，必须经国务院批准。</w:t>
      </w:r>
    </w:p>
    <w:p w14:paraId="3EF8BD2F">
      <w:pPr>
        <w:spacing w:line="600" w:lineRule="exact"/>
        <w:ind w:firstLine="640" w:firstLineChars="200"/>
        <w:rPr>
          <w:rFonts w:eastAsia="仿宋_GB2312"/>
          <w:kern w:val="0"/>
          <w:sz w:val="32"/>
          <w:szCs w:val="32"/>
        </w:rPr>
      </w:pPr>
      <w:r>
        <w:rPr>
          <w:rFonts w:eastAsia="楷体_GB2312"/>
          <w:bCs/>
          <w:kern w:val="0"/>
          <w:sz w:val="32"/>
          <w:szCs w:val="32"/>
        </w:rPr>
        <w:t>完善永久基本农田储备区制度。</w:t>
      </w:r>
      <w:r>
        <w:rPr>
          <w:rFonts w:eastAsia="仿宋_GB2312"/>
          <w:kern w:val="0"/>
          <w:sz w:val="32"/>
          <w:szCs w:val="32"/>
        </w:rPr>
        <w:t>鼓励在永久基本农田储备区实施土地综合整治和高标准农田建设，开展新增耕地质量等级评定，建档立卡，规范化管理。因生产建设活动或自然灾害造成永久基本农田储备区内耕地严重损毁，不能满足补划要求的及时调出，确保储备区耕地质量不降低。永久基本农田储备区耕地原则按一般耕地管理，城镇开发边界划定应避让储备区用地，禁止随意占用永久基本农田储备区用地，永久基本农田储备区成果应及时纳入国土空间规划</w:t>
      </w:r>
      <w:r>
        <w:rPr>
          <w:rFonts w:hint="eastAsia" w:ascii="宋体" w:hAnsi="宋体" w:cs="宋体"/>
          <w:kern w:val="0"/>
          <w:sz w:val="32"/>
          <w:szCs w:val="32"/>
        </w:rPr>
        <w:t>“</w:t>
      </w:r>
      <w:r>
        <w:rPr>
          <w:rFonts w:eastAsia="仿宋_GB2312"/>
          <w:kern w:val="0"/>
          <w:sz w:val="32"/>
          <w:szCs w:val="32"/>
        </w:rPr>
        <w:t>一张图</w:t>
      </w:r>
      <w:r>
        <w:rPr>
          <w:rFonts w:hint="eastAsia" w:ascii="宋体" w:hAnsi="宋体" w:cs="宋体"/>
          <w:kern w:val="0"/>
          <w:sz w:val="32"/>
          <w:szCs w:val="32"/>
        </w:rPr>
        <w:t>”</w:t>
      </w:r>
      <w:r>
        <w:rPr>
          <w:rFonts w:eastAsia="仿宋_GB2312"/>
          <w:kern w:val="0"/>
          <w:sz w:val="32"/>
          <w:szCs w:val="32"/>
        </w:rPr>
        <w:t>实施监督信息系统，实施动态监管。</w:t>
      </w:r>
    </w:p>
    <w:p w14:paraId="1738B270">
      <w:pPr>
        <w:pStyle w:val="3"/>
        <w:spacing w:before="156" w:beforeLines="50" w:after="156" w:afterLines="50" w:line="600" w:lineRule="exact"/>
        <w:rPr>
          <w:rFonts w:ascii="Times New Roman" w:hAnsi="Times New Roman"/>
          <w:b w:val="0"/>
          <w:bCs w:val="0"/>
        </w:rPr>
      </w:pPr>
      <w:bookmarkStart w:id="111" w:name="_Toc160715634"/>
      <w:bookmarkStart w:id="112" w:name="_Toc155861056"/>
      <w:r>
        <w:rPr>
          <w:rFonts w:ascii="Times New Roman" w:hAnsi="Times New Roman"/>
          <w:b w:val="0"/>
          <w:bCs w:val="0"/>
        </w:rPr>
        <w:t>第三节 推进草原保护性利用</w:t>
      </w:r>
      <w:bookmarkEnd w:id="108"/>
      <w:bookmarkEnd w:id="109"/>
      <w:bookmarkEnd w:id="110"/>
      <w:bookmarkEnd w:id="111"/>
      <w:bookmarkEnd w:id="112"/>
    </w:p>
    <w:p w14:paraId="49D8EC91">
      <w:pPr>
        <w:spacing w:line="600" w:lineRule="exact"/>
        <w:ind w:firstLine="640" w:firstLineChars="200"/>
        <w:rPr>
          <w:rFonts w:eastAsia="仿宋_GB2312"/>
          <w:kern w:val="0"/>
          <w:sz w:val="32"/>
          <w:szCs w:val="32"/>
        </w:rPr>
      </w:pPr>
      <w:r>
        <w:rPr>
          <w:rFonts w:eastAsia="楷体_GB2312"/>
          <w:bCs/>
          <w:kern w:val="0"/>
          <w:sz w:val="32"/>
          <w:szCs w:val="32"/>
        </w:rPr>
        <w:t>优化草原区域布局。</w:t>
      </w:r>
      <w:r>
        <w:rPr>
          <w:rFonts w:eastAsia="仿宋_GB2312"/>
          <w:kern w:val="0"/>
          <w:sz w:val="32"/>
          <w:szCs w:val="32"/>
        </w:rPr>
        <w:t>根据草原</w:t>
      </w:r>
      <w:r>
        <w:rPr>
          <w:rFonts w:hint="eastAsia" w:eastAsia="仿宋_GB2312"/>
          <w:kern w:val="0"/>
          <w:sz w:val="32"/>
          <w:szCs w:val="32"/>
        </w:rPr>
        <w:t>分布</w:t>
      </w:r>
      <w:r>
        <w:rPr>
          <w:rFonts w:eastAsia="仿宋_GB2312"/>
          <w:kern w:val="0"/>
          <w:sz w:val="32"/>
          <w:szCs w:val="32"/>
        </w:rPr>
        <w:t>自然特性和保护利用的需要，统筹草原生态和生产功能，建立草原长效补偿机制，合理保护利用二连浩特</w:t>
      </w:r>
      <w:r>
        <w:rPr>
          <w:rFonts w:hint="eastAsia" w:eastAsia="仿宋_GB2312"/>
          <w:kern w:val="0"/>
          <w:sz w:val="32"/>
          <w:szCs w:val="32"/>
        </w:rPr>
        <w:t>市</w:t>
      </w:r>
      <w:r>
        <w:rPr>
          <w:rFonts w:eastAsia="仿宋_GB2312"/>
          <w:kern w:val="0"/>
          <w:sz w:val="32"/>
          <w:szCs w:val="32"/>
        </w:rPr>
        <w:t>以东草甸草原和典型草原，打造绿色畜产品生产基地。加强二连浩特</w:t>
      </w:r>
      <w:r>
        <w:rPr>
          <w:rFonts w:hint="eastAsia" w:eastAsia="仿宋_GB2312"/>
          <w:kern w:val="0"/>
          <w:sz w:val="32"/>
          <w:szCs w:val="32"/>
        </w:rPr>
        <w:t>市</w:t>
      </w:r>
      <w:r>
        <w:rPr>
          <w:rFonts w:eastAsia="仿宋_GB2312"/>
          <w:kern w:val="0"/>
          <w:sz w:val="32"/>
          <w:szCs w:val="32"/>
        </w:rPr>
        <w:t>及以西荒漠草原、草原化荒漠的保护性利用，实施保护为主、利用为辅的措施，逐步恢复草原植被和生产功能。</w:t>
      </w:r>
    </w:p>
    <w:p w14:paraId="5916DA5D">
      <w:pPr>
        <w:spacing w:line="600" w:lineRule="exact"/>
        <w:ind w:firstLine="640" w:firstLineChars="200"/>
        <w:rPr>
          <w:rFonts w:eastAsia="仿宋_GB2312"/>
          <w:kern w:val="0"/>
          <w:sz w:val="32"/>
          <w:szCs w:val="32"/>
        </w:rPr>
      </w:pPr>
      <w:r>
        <w:rPr>
          <w:rFonts w:eastAsia="楷体_GB2312"/>
          <w:bCs/>
          <w:kern w:val="0"/>
          <w:sz w:val="32"/>
          <w:szCs w:val="32"/>
        </w:rPr>
        <w:t>推进草原分区利用。</w:t>
      </w:r>
      <w:r>
        <w:rPr>
          <w:rFonts w:eastAsia="仿宋_GB2312"/>
          <w:kern w:val="0"/>
          <w:sz w:val="32"/>
          <w:szCs w:val="32"/>
        </w:rPr>
        <w:t>将重度、部分中度退化沙化草原，具有特殊功能的草原和草原生态保护核心区划定为禁牧休养区，严格执行禁牧政策，加强生态环境保护，</w:t>
      </w:r>
      <w:r>
        <w:rPr>
          <w:rFonts w:hint="eastAsia" w:eastAsia="仿宋_GB2312"/>
          <w:kern w:val="0"/>
          <w:sz w:val="32"/>
          <w:szCs w:val="32"/>
        </w:rPr>
        <w:t>以</w:t>
      </w:r>
      <w:r>
        <w:rPr>
          <w:rFonts w:eastAsia="仿宋_GB2312"/>
          <w:kern w:val="0"/>
          <w:sz w:val="32"/>
          <w:szCs w:val="32"/>
        </w:rPr>
        <w:t>五年为</w:t>
      </w:r>
      <w:r>
        <w:rPr>
          <w:rFonts w:hint="eastAsia" w:eastAsia="仿宋_GB2312"/>
          <w:kern w:val="0"/>
          <w:sz w:val="32"/>
          <w:szCs w:val="32"/>
        </w:rPr>
        <w:t>周</w:t>
      </w:r>
      <w:r>
        <w:rPr>
          <w:rFonts w:eastAsia="仿宋_GB2312"/>
          <w:kern w:val="0"/>
          <w:sz w:val="32"/>
          <w:szCs w:val="32"/>
        </w:rPr>
        <w:t>期动态调整禁牧区范围。非禁牧区划定草畜平衡区，坚持以草定畜，优化畜群结构，合理确定载畜量</w:t>
      </w:r>
      <w:r>
        <w:rPr>
          <w:rFonts w:hint="eastAsia" w:eastAsia="仿宋_GB2312"/>
          <w:kern w:val="0"/>
          <w:sz w:val="32"/>
          <w:szCs w:val="32"/>
        </w:rPr>
        <w:t>。</w:t>
      </w:r>
      <w:r>
        <w:rPr>
          <w:rFonts w:eastAsia="仿宋_GB2312"/>
          <w:kern w:val="0"/>
          <w:sz w:val="32"/>
          <w:szCs w:val="32"/>
        </w:rPr>
        <w:t>在草畜平衡的基础上，鼓励实行休牧、划区轮牧等科学利用制度，提高草牧场质量，推进草原可持续利用。</w:t>
      </w:r>
    </w:p>
    <w:p w14:paraId="26A930DC">
      <w:pPr>
        <w:spacing w:line="600" w:lineRule="exact"/>
        <w:ind w:firstLine="640" w:firstLineChars="200"/>
        <w:rPr>
          <w:rFonts w:eastAsia="仿宋_GB2312"/>
          <w:kern w:val="0"/>
          <w:sz w:val="32"/>
          <w:szCs w:val="32"/>
        </w:rPr>
      </w:pPr>
      <w:r>
        <w:rPr>
          <w:rFonts w:eastAsia="楷体_GB2312"/>
          <w:bCs/>
          <w:kern w:val="0"/>
          <w:sz w:val="32"/>
          <w:szCs w:val="32"/>
        </w:rPr>
        <w:t>实施草原分类管控。</w:t>
      </w:r>
      <w:r>
        <w:rPr>
          <w:rFonts w:eastAsia="仿宋_GB2312"/>
          <w:kern w:val="0"/>
          <w:sz w:val="32"/>
          <w:szCs w:val="32"/>
        </w:rPr>
        <w:t>将草原分为生态保护红线内草原和生态保护红线外草原。生态保护红线内</w:t>
      </w:r>
      <w:r>
        <w:rPr>
          <w:rFonts w:hint="eastAsia" w:eastAsia="仿宋_GB2312"/>
          <w:kern w:val="0"/>
          <w:sz w:val="32"/>
          <w:szCs w:val="32"/>
        </w:rPr>
        <w:t>草原实行严格保护，仅允许开展符合国家有关规定的活动</w:t>
      </w:r>
      <w:r>
        <w:rPr>
          <w:rFonts w:eastAsia="仿宋_GB2312"/>
          <w:kern w:val="0"/>
          <w:sz w:val="32"/>
          <w:szCs w:val="32"/>
        </w:rPr>
        <w:t>。生态保护红线外草原兼顾保护和利用，除放牧活动外，可适当建设畜牧业生产附属设施，适度发展不破坏自然生态环境的草原旅游业</w:t>
      </w:r>
      <w:r>
        <w:rPr>
          <w:rFonts w:hint="eastAsia" w:eastAsia="仿宋_GB2312"/>
          <w:kern w:val="0"/>
          <w:sz w:val="32"/>
          <w:szCs w:val="32"/>
        </w:rPr>
        <w:t>，严控矿产资源开发利用上限</w:t>
      </w:r>
      <w:r>
        <w:rPr>
          <w:rFonts w:eastAsia="仿宋_GB2312"/>
          <w:kern w:val="0"/>
          <w:sz w:val="32"/>
          <w:szCs w:val="32"/>
        </w:rPr>
        <w:t>。</w:t>
      </w:r>
    </w:p>
    <w:p w14:paraId="7A52B722">
      <w:pPr>
        <w:pStyle w:val="3"/>
        <w:spacing w:before="156" w:beforeLines="50" w:after="156" w:afterLines="50" w:line="600" w:lineRule="exact"/>
        <w:rPr>
          <w:rFonts w:ascii="Times New Roman" w:hAnsi="Times New Roman"/>
          <w:b w:val="0"/>
          <w:bCs w:val="0"/>
        </w:rPr>
      </w:pPr>
      <w:bookmarkStart w:id="113" w:name="_Toc55544758"/>
      <w:bookmarkStart w:id="114" w:name="_Toc160715635"/>
      <w:bookmarkStart w:id="115" w:name="_Toc155861057"/>
      <w:bookmarkStart w:id="116" w:name="_Toc57734259"/>
      <w:bookmarkStart w:id="117" w:name="_Toc58266360"/>
      <w:bookmarkStart w:id="118" w:name="_Toc41137907"/>
      <w:bookmarkStart w:id="119" w:name="_Toc28162750"/>
      <w:bookmarkStart w:id="120" w:name="_Toc58510771"/>
      <w:r>
        <w:rPr>
          <w:rFonts w:ascii="Times New Roman" w:hAnsi="Times New Roman"/>
          <w:b w:val="0"/>
          <w:bCs w:val="0"/>
        </w:rPr>
        <w:t>第四节 推动美丽乡村建设</w:t>
      </w:r>
      <w:bookmarkEnd w:id="113"/>
      <w:bookmarkEnd w:id="114"/>
      <w:bookmarkEnd w:id="115"/>
      <w:bookmarkEnd w:id="116"/>
      <w:bookmarkEnd w:id="117"/>
      <w:bookmarkEnd w:id="118"/>
      <w:bookmarkEnd w:id="119"/>
      <w:bookmarkEnd w:id="120"/>
    </w:p>
    <w:p w14:paraId="3AF01A19">
      <w:pPr>
        <w:spacing w:line="600" w:lineRule="exact"/>
        <w:ind w:firstLine="640" w:firstLineChars="200"/>
        <w:rPr>
          <w:rFonts w:eastAsia="仿宋_GB2312"/>
          <w:kern w:val="0"/>
          <w:sz w:val="32"/>
          <w:szCs w:val="32"/>
        </w:rPr>
      </w:pPr>
      <w:r>
        <w:rPr>
          <w:rFonts w:eastAsia="楷体_GB2312"/>
          <w:bCs/>
          <w:kern w:val="0"/>
          <w:sz w:val="32"/>
          <w:szCs w:val="32"/>
        </w:rPr>
        <w:t>做好村庄分类。</w:t>
      </w:r>
      <w:r>
        <w:rPr>
          <w:rFonts w:hint="eastAsia" w:eastAsia="仿宋_GB2312"/>
          <w:kern w:val="0"/>
          <w:sz w:val="32"/>
          <w:szCs w:val="32"/>
        </w:rPr>
        <w:t>顺应</w:t>
      </w:r>
      <w:r>
        <w:rPr>
          <w:rFonts w:eastAsia="仿宋_GB2312"/>
          <w:kern w:val="0"/>
          <w:sz w:val="32"/>
          <w:szCs w:val="32"/>
        </w:rPr>
        <w:t>农村牧区村庄发展规律和演变趋势，</w:t>
      </w:r>
      <w:r>
        <w:rPr>
          <w:rFonts w:hint="eastAsia" w:eastAsia="仿宋_GB2312"/>
          <w:kern w:val="0"/>
          <w:sz w:val="32"/>
          <w:szCs w:val="32"/>
        </w:rPr>
        <w:t>统筹</w:t>
      </w:r>
      <w:r>
        <w:rPr>
          <w:rFonts w:eastAsia="仿宋_GB2312"/>
          <w:kern w:val="0"/>
          <w:sz w:val="32"/>
          <w:szCs w:val="32"/>
        </w:rPr>
        <w:t>考虑村庄定位、发展方向、产业基础、区位条件，将农村居民点和牧区牧民点划分为集聚提升、城郊融合、特色保护、搬迁撤并等主要类型。</w:t>
      </w:r>
    </w:p>
    <w:p w14:paraId="69BA66CC">
      <w:pPr>
        <w:spacing w:line="600" w:lineRule="exact"/>
        <w:ind w:firstLine="640" w:firstLineChars="200"/>
        <w:rPr>
          <w:rFonts w:eastAsia="仿宋_GB2312"/>
          <w:kern w:val="0"/>
          <w:sz w:val="32"/>
          <w:szCs w:val="32"/>
        </w:rPr>
      </w:pPr>
      <w:r>
        <w:rPr>
          <w:rFonts w:eastAsia="楷体_GB2312"/>
          <w:bCs/>
          <w:kern w:val="0"/>
          <w:sz w:val="32"/>
          <w:szCs w:val="32"/>
        </w:rPr>
        <w:t>优化村庄布局。</w:t>
      </w:r>
      <w:r>
        <w:rPr>
          <w:rFonts w:eastAsia="仿宋_GB2312"/>
          <w:kern w:val="0"/>
          <w:sz w:val="32"/>
          <w:szCs w:val="32"/>
        </w:rPr>
        <w:t>在严格落实耕地和永久基本农田、生态保护红线基础上，划定村庄</w:t>
      </w:r>
      <w:r>
        <w:rPr>
          <w:rFonts w:hint="eastAsia" w:eastAsia="仿宋_GB2312"/>
          <w:kern w:val="0"/>
          <w:sz w:val="32"/>
          <w:szCs w:val="32"/>
        </w:rPr>
        <w:t>建设</w:t>
      </w:r>
      <w:r>
        <w:rPr>
          <w:rFonts w:eastAsia="仿宋_GB2312"/>
          <w:kern w:val="0"/>
          <w:sz w:val="32"/>
          <w:szCs w:val="32"/>
        </w:rPr>
        <w:t>边界，合理布局生活空间，适度增加生产空间，构建科学适度有序的农村居民点布局体系，保留乡村原有地形地貌，保护好传统村落、民族村寨、传统建筑，优化水系、林网、绿道等生态空间布局，完善农田水利配套设施，落实</w:t>
      </w:r>
      <w:r>
        <w:rPr>
          <w:rFonts w:hint="eastAsia" w:eastAsia="仿宋_GB2312"/>
          <w:kern w:val="0"/>
          <w:sz w:val="32"/>
          <w:szCs w:val="32"/>
        </w:rPr>
        <w:t>“</w:t>
      </w:r>
      <w:r>
        <w:rPr>
          <w:rFonts w:eastAsia="仿宋_GB2312"/>
          <w:kern w:val="0"/>
          <w:sz w:val="32"/>
          <w:szCs w:val="32"/>
        </w:rPr>
        <w:t>一户一宅</w:t>
      </w:r>
      <w:r>
        <w:rPr>
          <w:rFonts w:hint="eastAsia" w:eastAsia="仿宋_GB2312"/>
          <w:kern w:val="0"/>
          <w:sz w:val="32"/>
          <w:szCs w:val="32"/>
        </w:rPr>
        <w:t>”</w:t>
      </w:r>
      <w:r>
        <w:rPr>
          <w:rFonts w:eastAsia="仿宋_GB2312"/>
          <w:kern w:val="0"/>
          <w:sz w:val="32"/>
          <w:szCs w:val="32"/>
        </w:rPr>
        <w:t>政策，引导乡村人口向集聚提升型村庄集聚，严格控制搬迁撤并型村庄和生态保护红线内居民点用地规模，</w:t>
      </w:r>
      <w:r>
        <w:rPr>
          <w:rFonts w:hint="eastAsia" w:eastAsia="仿宋_GB2312"/>
          <w:kern w:val="0"/>
          <w:sz w:val="32"/>
          <w:szCs w:val="32"/>
        </w:rPr>
        <w:t>防止</w:t>
      </w:r>
      <w:r>
        <w:rPr>
          <w:rFonts w:eastAsia="仿宋_GB2312"/>
          <w:kern w:val="0"/>
          <w:sz w:val="32"/>
          <w:szCs w:val="32"/>
        </w:rPr>
        <w:t>居民点无序蔓延扩张。</w:t>
      </w:r>
    </w:p>
    <w:p w14:paraId="7565A584">
      <w:pPr>
        <w:spacing w:line="600" w:lineRule="exact"/>
        <w:ind w:firstLine="641"/>
        <w:rPr>
          <w:rFonts w:eastAsia="仿宋_GB2312"/>
          <w:kern w:val="0"/>
          <w:sz w:val="32"/>
          <w:szCs w:val="32"/>
        </w:rPr>
      </w:pPr>
      <w:r>
        <w:rPr>
          <w:rFonts w:eastAsia="楷体_GB2312"/>
          <w:bCs/>
          <w:kern w:val="0"/>
          <w:sz w:val="32"/>
          <w:szCs w:val="32"/>
        </w:rPr>
        <w:t>提升村庄品质。</w:t>
      </w:r>
      <w:r>
        <w:rPr>
          <w:rFonts w:eastAsia="仿宋_GB2312"/>
          <w:kern w:val="0"/>
          <w:sz w:val="32"/>
          <w:szCs w:val="32"/>
        </w:rPr>
        <w:t>统筹生态建设、</w:t>
      </w:r>
      <w:r>
        <w:rPr>
          <w:rFonts w:hint="eastAsia" w:eastAsia="仿宋_GB2312"/>
          <w:kern w:val="0"/>
          <w:sz w:val="32"/>
          <w:szCs w:val="32"/>
        </w:rPr>
        <w:t>文化保护</w:t>
      </w:r>
      <w:r>
        <w:rPr>
          <w:rFonts w:eastAsia="仿宋_GB2312"/>
          <w:kern w:val="0"/>
          <w:sz w:val="32"/>
          <w:szCs w:val="32"/>
        </w:rPr>
        <w:t>和产业发展的用地需求，支撑建设乡村田园综合体，保障推动水电路网等基础设施向农村牧区延伸、公共服务向农村牧区覆盖、城市文明向农村牧区辐射的空间需求。</w:t>
      </w:r>
    </w:p>
    <w:p w14:paraId="1D4FEE48">
      <w:pPr>
        <w:spacing w:line="600" w:lineRule="exact"/>
        <w:ind w:firstLine="640" w:firstLineChars="200"/>
        <w:rPr>
          <w:rFonts w:eastAsia="仿宋_GB2312"/>
          <w:kern w:val="0"/>
          <w:sz w:val="32"/>
          <w:szCs w:val="32"/>
        </w:rPr>
      </w:pPr>
      <w:r>
        <w:rPr>
          <w:rFonts w:eastAsia="楷体_GB2312"/>
          <w:bCs/>
          <w:kern w:val="0"/>
          <w:sz w:val="32"/>
          <w:szCs w:val="32"/>
        </w:rPr>
        <w:t>促进农村产业发展。</w:t>
      </w:r>
      <w:r>
        <w:rPr>
          <w:rFonts w:eastAsia="仿宋_GB2312"/>
          <w:kern w:val="0"/>
          <w:sz w:val="32"/>
          <w:szCs w:val="32"/>
          <w:lang w:bidi="ar"/>
        </w:rPr>
        <w:t>立</w:t>
      </w:r>
      <w:r>
        <w:rPr>
          <w:rFonts w:eastAsia="仿宋_GB2312"/>
          <w:kern w:val="0"/>
          <w:sz w:val="32"/>
          <w:szCs w:val="32"/>
        </w:rPr>
        <w:t>足自然资源禀赋和现有产业基础，优化奶业、肉羊、肉牛、生猪、家禽、特色养殖、绒毛、饲草饲料等畜禽养殖空间布局，重点支持沿黄地区、西辽河流域、嫩江流域、呼伦贝尔草原、锡林郭勒草原五大奶源基地建设，保障</w:t>
      </w:r>
      <w:r>
        <w:rPr>
          <w:rFonts w:eastAsia="仿宋_GB2312"/>
          <w:sz w:val="32"/>
          <w:szCs w:val="32"/>
        </w:rPr>
        <w:t>优势地区</w:t>
      </w:r>
      <w:r>
        <w:rPr>
          <w:rFonts w:eastAsia="仿宋_GB2312"/>
          <w:kern w:val="0"/>
          <w:sz w:val="32"/>
          <w:szCs w:val="32"/>
          <w:lang w:bidi="ar"/>
        </w:rPr>
        <w:t>规模化畜禽养殖用地空间</w:t>
      </w:r>
      <w:r>
        <w:rPr>
          <w:rFonts w:eastAsia="仿宋_GB2312"/>
          <w:kern w:val="0"/>
          <w:sz w:val="32"/>
          <w:szCs w:val="32"/>
        </w:rPr>
        <w:t>。依托现代农牧业产业、科技、加工</w:t>
      </w:r>
      <w:r>
        <w:rPr>
          <w:rFonts w:hint="eastAsia" w:eastAsia="仿宋_GB2312"/>
          <w:kern w:val="0"/>
          <w:sz w:val="32"/>
          <w:szCs w:val="32"/>
        </w:rPr>
        <w:t>产业</w:t>
      </w:r>
      <w:r>
        <w:rPr>
          <w:rFonts w:eastAsia="仿宋_GB2312"/>
          <w:kern w:val="0"/>
          <w:sz w:val="32"/>
          <w:szCs w:val="32"/>
        </w:rPr>
        <w:t>示范区，建设农村牧区电子商务发展需求的基础设施，打造休闲农牧业和农村牧区旅游精品工程，发展新型流通业态，统筹一二三产业用地需求，全面保障乡村共享经济等新业态发展，</w:t>
      </w:r>
      <w:r>
        <w:rPr>
          <w:rFonts w:hint="eastAsia" w:eastAsia="仿宋_GB2312"/>
          <w:kern w:val="0"/>
          <w:sz w:val="32"/>
          <w:szCs w:val="32"/>
        </w:rPr>
        <w:t>实施</w:t>
      </w:r>
      <w:r>
        <w:rPr>
          <w:rFonts w:eastAsia="仿宋_GB2312"/>
          <w:kern w:val="0"/>
          <w:sz w:val="32"/>
          <w:szCs w:val="32"/>
        </w:rPr>
        <w:t>乡村振兴战略</w:t>
      </w:r>
      <w:r>
        <w:rPr>
          <w:rFonts w:hint="eastAsia" w:eastAsia="仿宋_GB2312"/>
          <w:kern w:val="0"/>
          <w:sz w:val="32"/>
          <w:szCs w:val="32"/>
        </w:rPr>
        <w:t>，</w:t>
      </w:r>
      <w:r>
        <w:rPr>
          <w:rFonts w:eastAsia="仿宋_GB2312"/>
          <w:kern w:val="0"/>
          <w:sz w:val="32"/>
          <w:szCs w:val="32"/>
        </w:rPr>
        <w:t>优先安排农村牧区产业发展用地。</w:t>
      </w:r>
    </w:p>
    <w:p w14:paraId="1B6E6688">
      <w:pPr>
        <w:pStyle w:val="3"/>
        <w:spacing w:before="156" w:beforeLines="50" w:after="156" w:afterLines="50" w:line="600" w:lineRule="exact"/>
        <w:rPr>
          <w:rFonts w:ascii="Times New Roman" w:hAnsi="Times New Roman"/>
          <w:b w:val="0"/>
          <w:bCs w:val="0"/>
        </w:rPr>
      </w:pPr>
      <w:bookmarkStart w:id="121" w:name="_Toc58266361"/>
      <w:bookmarkStart w:id="122" w:name="_Toc58510772"/>
      <w:bookmarkStart w:id="123" w:name="_Toc160715636"/>
      <w:bookmarkStart w:id="124" w:name="_Toc57734256"/>
      <w:bookmarkStart w:id="125" w:name="_Toc155861058"/>
      <w:bookmarkStart w:id="126" w:name="_Toc41137905"/>
      <w:bookmarkStart w:id="127" w:name="_Toc57215548"/>
      <w:r>
        <w:rPr>
          <w:rFonts w:ascii="Times New Roman" w:hAnsi="Times New Roman"/>
          <w:b w:val="0"/>
          <w:bCs w:val="0"/>
        </w:rPr>
        <w:t>第五节 强化农牧空间管控</w:t>
      </w:r>
      <w:bookmarkEnd w:id="121"/>
      <w:bookmarkEnd w:id="122"/>
      <w:bookmarkEnd w:id="123"/>
      <w:bookmarkEnd w:id="124"/>
      <w:bookmarkEnd w:id="125"/>
    </w:p>
    <w:p w14:paraId="384B00FB">
      <w:pPr>
        <w:spacing w:line="600" w:lineRule="exact"/>
        <w:ind w:firstLine="640" w:firstLineChars="200"/>
        <w:rPr>
          <w:rFonts w:eastAsia="仿宋_GB2312"/>
          <w:kern w:val="0"/>
          <w:sz w:val="32"/>
          <w:szCs w:val="32"/>
        </w:rPr>
      </w:pPr>
      <w:r>
        <w:rPr>
          <w:rFonts w:eastAsia="仿宋_GB2312"/>
          <w:kern w:val="0"/>
          <w:sz w:val="32"/>
          <w:szCs w:val="32"/>
        </w:rPr>
        <w:t>加强耕地、园地、人工商品林地、人工牧草地及其配套设施用地等农牧空间的管理，对农牧空间实施差异化管控。</w:t>
      </w:r>
    </w:p>
    <w:p w14:paraId="7D8B1270">
      <w:pPr>
        <w:spacing w:line="600" w:lineRule="exact"/>
        <w:ind w:firstLine="640" w:firstLineChars="200"/>
        <w:rPr>
          <w:rFonts w:eastAsia="仿宋_GB2312"/>
          <w:kern w:val="0"/>
          <w:sz w:val="32"/>
          <w:szCs w:val="32"/>
        </w:rPr>
      </w:pPr>
      <w:r>
        <w:rPr>
          <w:rFonts w:eastAsia="楷体_GB2312"/>
          <w:bCs/>
          <w:kern w:val="0"/>
          <w:sz w:val="32"/>
          <w:szCs w:val="32"/>
        </w:rPr>
        <w:t>农牧空间管控。</w:t>
      </w:r>
      <w:r>
        <w:rPr>
          <w:rFonts w:eastAsia="仿宋_GB2312"/>
          <w:kern w:val="0"/>
          <w:sz w:val="32"/>
          <w:szCs w:val="32"/>
        </w:rPr>
        <w:t>按照空间用途的主导功能，将农牧空间细划为种植业空间、畜牧业空间和乡村建设空间，在不破坏植被、不影响原土地用途的前提下，按照国家有关规定要求适度发展复合光伏</w:t>
      </w:r>
      <w:r>
        <w:rPr>
          <w:rFonts w:hint="eastAsia" w:eastAsia="仿宋_GB2312"/>
          <w:kern w:val="0"/>
          <w:sz w:val="32"/>
          <w:szCs w:val="32"/>
        </w:rPr>
        <w:t>产业，</w:t>
      </w:r>
      <w:r>
        <w:rPr>
          <w:rFonts w:eastAsia="仿宋_GB2312"/>
          <w:kern w:val="0"/>
          <w:sz w:val="32"/>
          <w:szCs w:val="32"/>
        </w:rPr>
        <w:t>合理适度保障除国家重大项目外的其他能源类、经营性、旅游类、林下经济或森林康养等用地，避免破坏林地或影响森林生态功能发挥，并应依法依规办理用地手续。</w:t>
      </w:r>
    </w:p>
    <w:p w14:paraId="007C8592">
      <w:pPr>
        <w:spacing w:line="600" w:lineRule="exact"/>
        <w:ind w:firstLine="640" w:firstLineChars="200"/>
        <w:rPr>
          <w:rFonts w:eastAsia="仿宋_GB2312"/>
          <w:kern w:val="0"/>
          <w:sz w:val="32"/>
          <w:szCs w:val="32"/>
        </w:rPr>
      </w:pPr>
      <w:r>
        <w:rPr>
          <w:rFonts w:eastAsia="楷体_GB2312"/>
          <w:bCs/>
          <w:kern w:val="0"/>
          <w:sz w:val="32"/>
          <w:szCs w:val="32"/>
        </w:rPr>
        <w:t>种植业空间。</w:t>
      </w:r>
      <w:r>
        <w:rPr>
          <w:rFonts w:eastAsia="仿宋_GB2312"/>
          <w:kern w:val="0"/>
          <w:sz w:val="32"/>
          <w:szCs w:val="32"/>
        </w:rPr>
        <w:t>主要由耕地、园地、农业设施</w:t>
      </w:r>
      <w:r>
        <w:rPr>
          <w:rFonts w:hint="eastAsia" w:eastAsia="仿宋_GB2312"/>
          <w:kern w:val="0"/>
          <w:sz w:val="32"/>
          <w:szCs w:val="32"/>
        </w:rPr>
        <w:t>建设</w:t>
      </w:r>
      <w:r>
        <w:rPr>
          <w:rFonts w:eastAsia="仿宋_GB2312"/>
          <w:kern w:val="0"/>
          <w:sz w:val="32"/>
          <w:szCs w:val="32"/>
        </w:rPr>
        <w:t>用地构成。坚决遏制耕地</w:t>
      </w:r>
      <w:r>
        <w:rPr>
          <w:rFonts w:hint="eastAsia" w:eastAsia="仿宋_GB2312"/>
          <w:kern w:val="0"/>
          <w:sz w:val="32"/>
          <w:szCs w:val="32"/>
        </w:rPr>
        <w:t>“</w:t>
      </w:r>
      <w:r>
        <w:rPr>
          <w:rFonts w:eastAsia="仿宋_GB2312"/>
          <w:kern w:val="0"/>
          <w:sz w:val="32"/>
          <w:szCs w:val="32"/>
        </w:rPr>
        <w:t>非农化</w:t>
      </w:r>
      <w:r>
        <w:rPr>
          <w:rFonts w:hint="eastAsia" w:eastAsia="仿宋_GB2312"/>
          <w:kern w:val="0"/>
          <w:sz w:val="32"/>
          <w:szCs w:val="32"/>
        </w:rPr>
        <w:t>”</w:t>
      </w:r>
      <w:r>
        <w:rPr>
          <w:rFonts w:eastAsia="仿宋_GB2312"/>
          <w:kern w:val="0"/>
          <w:sz w:val="32"/>
          <w:szCs w:val="32"/>
        </w:rPr>
        <w:t>、防止</w:t>
      </w:r>
      <w:r>
        <w:rPr>
          <w:rFonts w:hint="eastAsia" w:eastAsia="仿宋_GB2312"/>
          <w:kern w:val="0"/>
          <w:sz w:val="32"/>
          <w:szCs w:val="32"/>
        </w:rPr>
        <w:t>“</w:t>
      </w:r>
      <w:r>
        <w:rPr>
          <w:rFonts w:eastAsia="仿宋_GB2312"/>
          <w:kern w:val="0"/>
          <w:sz w:val="32"/>
          <w:szCs w:val="32"/>
        </w:rPr>
        <w:t>非粮化</w:t>
      </w:r>
      <w:r>
        <w:rPr>
          <w:rFonts w:hint="eastAsia" w:eastAsia="仿宋_GB2312"/>
          <w:kern w:val="0"/>
          <w:sz w:val="32"/>
          <w:szCs w:val="32"/>
        </w:rPr>
        <w:t>”</w:t>
      </w:r>
      <w:r>
        <w:rPr>
          <w:rFonts w:eastAsia="仿宋_GB2312"/>
          <w:kern w:val="0"/>
          <w:sz w:val="32"/>
          <w:szCs w:val="32"/>
        </w:rPr>
        <w:t>，严禁违规占用耕地绿化造林、严禁违规超标准建设绿色通道、严禁违规占用耕地挖湖造景。禁止任何单位和个人闲置、荒芜耕地，占用耕地建窑、建坟或者擅自在耕地上建房、挖砂、采石、采矿、取土等非法行为，限制非农业生产建设活动占用耕地。实施耕地种植用途管控，耕地主要用于粮食和棉、油、糖、蔬菜等农产品及饲草饲料生产，永久基本农田重点用于粮食生产，高标准农田原则上全部用于粮食生产。</w:t>
      </w:r>
    </w:p>
    <w:p w14:paraId="150732AD">
      <w:pPr>
        <w:spacing w:line="600" w:lineRule="exact"/>
        <w:ind w:firstLine="640" w:firstLineChars="200"/>
        <w:rPr>
          <w:rFonts w:eastAsia="仿宋_GB2312"/>
          <w:kern w:val="0"/>
          <w:sz w:val="32"/>
          <w:szCs w:val="32"/>
        </w:rPr>
      </w:pPr>
      <w:r>
        <w:rPr>
          <w:rFonts w:eastAsia="楷体_GB2312"/>
          <w:bCs/>
          <w:kern w:val="0"/>
          <w:sz w:val="32"/>
          <w:szCs w:val="32"/>
        </w:rPr>
        <w:t>畜牧业空间。</w:t>
      </w:r>
      <w:r>
        <w:rPr>
          <w:rFonts w:eastAsia="仿宋_GB2312"/>
          <w:kern w:val="0"/>
          <w:sz w:val="32"/>
          <w:szCs w:val="32"/>
        </w:rPr>
        <w:t>主要由重要割草地、人工草地及农区零散分布的草地等构成。严禁在草原上非法开垦耕地，严格控制草原载畜量和超规模的畜牧附属设施建设。开展以生态体验为主的草原旅游，不得破坏草原植被。</w:t>
      </w:r>
    </w:p>
    <w:p w14:paraId="1776BFA7">
      <w:pPr>
        <w:spacing w:line="600" w:lineRule="exact"/>
        <w:ind w:firstLine="640" w:firstLineChars="200"/>
        <w:rPr>
          <w:rFonts w:eastAsia="仿宋_GB2312"/>
          <w:kern w:val="0"/>
          <w:sz w:val="32"/>
          <w:szCs w:val="32"/>
        </w:rPr>
      </w:pPr>
      <w:r>
        <w:rPr>
          <w:rFonts w:eastAsia="楷体_GB2312"/>
          <w:bCs/>
          <w:kern w:val="0"/>
          <w:sz w:val="32"/>
          <w:szCs w:val="32"/>
        </w:rPr>
        <w:t>乡村建设空间。</w:t>
      </w:r>
      <w:r>
        <w:rPr>
          <w:rFonts w:eastAsia="仿宋_GB2312"/>
          <w:kern w:val="0"/>
          <w:sz w:val="32"/>
          <w:szCs w:val="32"/>
        </w:rPr>
        <w:t>主要由农村牧区宅基地、生产经营性用地和乡村社区服务设施用地构成。严格控制农村牧区宅基地用地规模，逐步降低人均居民点用地指标。新增建设用地指标应优先满足农村牧区公共服务设施和基础设施建设用地需求。鼓励农村牧区集体经济组织及其成员以出租、合作等方式盘活利用农村闲置宅基地和闲置住宅，按照规划和用地标准，保障发展民宿民俗、休闲农牧业、乡村旅游等新产业新业态的空间需求。</w:t>
      </w:r>
    </w:p>
    <w:bookmarkEnd w:id="126"/>
    <w:bookmarkEnd w:id="127"/>
    <w:p w14:paraId="3138D340">
      <w:pPr>
        <w:pStyle w:val="2"/>
        <w:keepNext w:val="0"/>
        <w:keepLines w:val="0"/>
        <w:spacing w:before="0" w:after="312" w:afterLines="100" w:line="240" w:lineRule="auto"/>
        <w:jc w:val="center"/>
        <w:rPr>
          <w:rFonts w:hint="eastAsia" w:ascii="方正小标宋简体" w:eastAsia="方正小标宋简体"/>
          <w:b w:val="0"/>
          <w:bCs w:val="0"/>
          <w:sz w:val="36"/>
          <w:szCs w:val="32"/>
        </w:rPr>
      </w:pPr>
      <w:bookmarkStart w:id="128" w:name="_Toc57879215"/>
      <w:bookmarkStart w:id="129" w:name="_Toc57897826"/>
      <w:bookmarkStart w:id="130" w:name="_Toc56842377"/>
      <w:bookmarkStart w:id="131" w:name="_Toc41137903"/>
      <w:bookmarkStart w:id="132" w:name="_Toc57215546"/>
      <w:r>
        <w:rPr>
          <w:rFonts w:eastAsia="方正小标宋_GBK"/>
          <w:b w:val="0"/>
          <w:bCs w:val="0"/>
          <w:sz w:val="36"/>
          <w:szCs w:val="32"/>
        </w:rPr>
        <w:br w:type="page"/>
      </w:r>
      <w:bookmarkStart w:id="133" w:name="_Toc155861059"/>
      <w:bookmarkStart w:id="134" w:name="_Toc160715637"/>
      <w:r>
        <w:rPr>
          <w:rFonts w:hint="eastAsia" w:ascii="方正小标宋简体" w:eastAsia="方正小标宋简体"/>
          <w:b w:val="0"/>
          <w:bCs w:val="0"/>
          <w:sz w:val="36"/>
          <w:szCs w:val="32"/>
        </w:rPr>
        <w:t xml:space="preserve">第五章 </w:t>
      </w:r>
      <w:bookmarkEnd w:id="128"/>
      <w:bookmarkEnd w:id="129"/>
      <w:bookmarkEnd w:id="130"/>
      <w:r>
        <w:rPr>
          <w:rFonts w:hint="eastAsia" w:ascii="方正小标宋简体" w:eastAsia="方正小标宋简体"/>
          <w:b w:val="0"/>
          <w:bCs w:val="0"/>
          <w:sz w:val="36"/>
          <w:szCs w:val="32"/>
        </w:rPr>
        <w:t>筑牢安全韧性生态空间</w:t>
      </w:r>
      <w:bookmarkEnd w:id="133"/>
      <w:bookmarkEnd w:id="134"/>
    </w:p>
    <w:p w14:paraId="66FF9F87">
      <w:pPr>
        <w:spacing w:line="600" w:lineRule="exact"/>
        <w:ind w:firstLine="640" w:firstLineChars="200"/>
        <w:rPr>
          <w:rFonts w:eastAsia="仿宋_GB2312"/>
          <w:kern w:val="0"/>
          <w:sz w:val="32"/>
          <w:szCs w:val="32"/>
        </w:rPr>
      </w:pPr>
      <w:r>
        <w:rPr>
          <w:rFonts w:eastAsia="仿宋_GB2312"/>
          <w:kern w:val="0"/>
          <w:sz w:val="32"/>
          <w:szCs w:val="32"/>
        </w:rPr>
        <w:t>坚持绿水青山就是金山银山的理念，坚定不移走以生态优先、绿色发展为导向的高质量发展新路子，全方位全地域加强生态环境保护，统筹山水林田湖草沙系统保护与修复，因地制宜、分区施策，推动生态环境精准治理，守住自然生态安全底线，</w:t>
      </w:r>
      <w:r>
        <w:rPr>
          <w:rFonts w:hint="eastAsia" w:eastAsia="仿宋_GB2312"/>
          <w:kern w:val="0"/>
          <w:sz w:val="32"/>
          <w:szCs w:val="32"/>
        </w:rPr>
        <w:t>提供</w:t>
      </w:r>
      <w:r>
        <w:rPr>
          <w:rFonts w:eastAsia="仿宋_GB2312"/>
          <w:kern w:val="0"/>
          <w:sz w:val="32"/>
          <w:szCs w:val="32"/>
        </w:rPr>
        <w:t>优质生态产品，夯实绿色发展基础，巩固提升林草碳汇能力，构筑山清水秀、林茂草丰</w:t>
      </w:r>
      <w:r>
        <w:rPr>
          <w:rFonts w:hint="eastAsia" w:eastAsia="仿宋_GB2312"/>
          <w:kern w:val="0"/>
          <w:sz w:val="32"/>
          <w:szCs w:val="32"/>
        </w:rPr>
        <w:t>的</w:t>
      </w:r>
      <w:r>
        <w:rPr>
          <w:rFonts w:eastAsia="仿宋_GB2312"/>
          <w:kern w:val="0"/>
          <w:sz w:val="32"/>
          <w:szCs w:val="32"/>
        </w:rPr>
        <w:t>安全韧性生态空间，筑牢我国北方重要生态安全屏障，维护国家生态安全。</w:t>
      </w:r>
    </w:p>
    <w:p w14:paraId="3D44E2CE">
      <w:pPr>
        <w:pStyle w:val="3"/>
        <w:spacing w:before="156" w:beforeLines="50" w:after="156" w:afterLines="50" w:line="600" w:lineRule="exact"/>
        <w:rPr>
          <w:rFonts w:ascii="Times New Roman" w:hAnsi="Times New Roman"/>
          <w:b w:val="0"/>
          <w:bCs w:val="0"/>
        </w:rPr>
      </w:pPr>
      <w:bookmarkStart w:id="135" w:name="_Toc57879217"/>
      <w:bookmarkStart w:id="136" w:name="_Toc57897828"/>
      <w:bookmarkStart w:id="137" w:name="_Toc160715638"/>
      <w:bookmarkStart w:id="138" w:name="_Toc155861060"/>
      <w:bookmarkStart w:id="139" w:name="_Toc57897827"/>
      <w:bookmarkStart w:id="140" w:name="_Toc56842399"/>
      <w:bookmarkStart w:id="141" w:name="_Toc57879216"/>
      <w:bookmarkStart w:id="142" w:name="_Toc28162741"/>
      <w:bookmarkStart w:id="143" w:name="_Toc40341421"/>
      <w:r>
        <w:rPr>
          <w:rFonts w:ascii="Times New Roman" w:hAnsi="Times New Roman"/>
          <w:b w:val="0"/>
          <w:bCs w:val="0"/>
        </w:rPr>
        <w:t xml:space="preserve">第一节 </w:t>
      </w:r>
      <w:bookmarkEnd w:id="135"/>
      <w:bookmarkEnd w:id="136"/>
      <w:r>
        <w:rPr>
          <w:rFonts w:ascii="Times New Roman" w:hAnsi="Times New Roman"/>
          <w:b w:val="0"/>
          <w:bCs w:val="0"/>
        </w:rPr>
        <w:t>建立自然保护地体系</w:t>
      </w:r>
      <w:bookmarkEnd w:id="137"/>
      <w:bookmarkEnd w:id="138"/>
    </w:p>
    <w:p w14:paraId="06F2C09C">
      <w:pPr>
        <w:spacing w:line="600" w:lineRule="exact"/>
        <w:ind w:firstLine="640" w:firstLineChars="200"/>
        <w:rPr>
          <w:rFonts w:eastAsia="仿宋_GB2312"/>
          <w:kern w:val="0"/>
          <w:sz w:val="32"/>
          <w:szCs w:val="32"/>
        </w:rPr>
      </w:pPr>
      <w:r>
        <w:rPr>
          <w:rFonts w:eastAsia="楷体_GB2312"/>
          <w:bCs/>
          <w:kern w:val="0"/>
          <w:sz w:val="32"/>
          <w:szCs w:val="32"/>
        </w:rPr>
        <w:t>整合优化自然保护地。</w:t>
      </w:r>
      <w:r>
        <w:rPr>
          <w:rFonts w:eastAsia="仿宋_GB2312"/>
          <w:kern w:val="0"/>
          <w:sz w:val="32"/>
          <w:szCs w:val="32"/>
        </w:rPr>
        <w:t>科学合理对自然保护地进行整合优化。以国家公园为主体，建立分类科学、布局合理、保护有力、管理有效的自然保护地体系，确保重要自然生态系统、自然遗迹、自然景观和生物多样性得到系统性保护，提升生态产品供给能力。以自然保护地为基础，以种质资源保护区、禁猎区、禁伐区为补充，建设重要生态资源就地保护空间，加强生物多样性保护。推进大青山、贺兰山、巴丹吉林、松嫩鹤乡、大兴安岭、呼伦贝尔等国家公园设立和建设。编制自然保护地专项规划，明确自然保护地发展目标、规模，并划定保护区域范围。</w:t>
      </w:r>
      <w:r>
        <w:rPr>
          <w:rFonts w:hint="eastAsia" w:eastAsia="仿宋_GB2312"/>
          <w:kern w:val="0"/>
          <w:sz w:val="32"/>
          <w:szCs w:val="32"/>
        </w:rPr>
        <w:t>将</w:t>
      </w:r>
      <w:r>
        <w:rPr>
          <w:rFonts w:eastAsia="仿宋_GB2312"/>
          <w:kern w:val="0"/>
          <w:sz w:val="32"/>
          <w:szCs w:val="32"/>
        </w:rPr>
        <w:t>典型的自然生态系统、珍稀濒危野生动植物种的天然集中分布区、有特殊意义的自然遗迹区域，自然保护区周边生态保护价值高、生物多样性丰富的区域</w:t>
      </w:r>
      <w:r>
        <w:rPr>
          <w:rFonts w:hint="eastAsia" w:eastAsia="仿宋_GB2312"/>
          <w:kern w:val="0"/>
          <w:sz w:val="32"/>
          <w:szCs w:val="32"/>
        </w:rPr>
        <w:t>统筹</w:t>
      </w:r>
      <w:r>
        <w:rPr>
          <w:rFonts w:eastAsia="仿宋_GB2312"/>
          <w:kern w:val="0"/>
          <w:sz w:val="32"/>
          <w:szCs w:val="32"/>
        </w:rPr>
        <w:t>纳入自然保护区，重点实施国家级自然保护区基础设施建设和生态系统保护修复项目建设。自然公园重点保护重要的自然生态系统、自然遗迹和自然景观，确保森林、荒漠、湿地、水域、草原、生物等珍贵自然资源，以及所承载的景观、地质地貌和文化多样性得到有效保护，包括森林公园、地质公园、沙漠公园、草原公园、湿地公园、风景名胜区等各类自然公园</w:t>
      </w:r>
      <w:r>
        <w:rPr>
          <w:rFonts w:hint="eastAsia" w:eastAsia="仿宋_GB2312"/>
          <w:kern w:val="0"/>
          <w:sz w:val="32"/>
          <w:szCs w:val="32"/>
        </w:rPr>
        <w:t>。</w:t>
      </w:r>
      <w:r>
        <w:rPr>
          <w:rFonts w:eastAsia="仿宋_GB2312"/>
          <w:kern w:val="0"/>
          <w:sz w:val="32"/>
          <w:szCs w:val="32"/>
        </w:rPr>
        <w:t>开展自然保护地勘界</w:t>
      </w:r>
      <w:r>
        <w:rPr>
          <w:rFonts w:hint="eastAsia" w:eastAsia="仿宋_GB2312"/>
          <w:kern w:val="0"/>
          <w:sz w:val="32"/>
          <w:szCs w:val="32"/>
        </w:rPr>
        <w:t>立</w:t>
      </w:r>
      <w:r>
        <w:rPr>
          <w:rFonts w:eastAsia="仿宋_GB2312"/>
          <w:kern w:val="0"/>
          <w:sz w:val="32"/>
          <w:szCs w:val="32"/>
        </w:rPr>
        <w:t>标，在重要地段、重要部位设立界桩和标识牌。</w:t>
      </w:r>
    </w:p>
    <w:p w14:paraId="7346C792">
      <w:pPr>
        <w:spacing w:line="600" w:lineRule="exact"/>
        <w:ind w:firstLine="640" w:firstLineChars="200"/>
        <w:rPr>
          <w:rFonts w:eastAsia="仿宋_GB2312"/>
          <w:kern w:val="0"/>
          <w:sz w:val="32"/>
          <w:szCs w:val="32"/>
        </w:rPr>
      </w:pPr>
      <w:r>
        <w:rPr>
          <w:rFonts w:eastAsia="楷体_GB2312"/>
          <w:bCs/>
          <w:kern w:val="0"/>
          <w:sz w:val="32"/>
          <w:szCs w:val="32"/>
        </w:rPr>
        <w:t>加强自然保护地生态管理。</w:t>
      </w:r>
      <w:r>
        <w:rPr>
          <w:rFonts w:eastAsia="仿宋_GB2312"/>
          <w:kern w:val="0"/>
          <w:sz w:val="32"/>
          <w:szCs w:val="32"/>
        </w:rPr>
        <w:t>自然保护地核心保护区原则上禁止人为活动。完善自然保护地设立、晋（降）级、调整和退出规则，制定自然保护地政策、制度和标准规范，实行全过程统一管理。新增国家公园等自然保护地</w:t>
      </w:r>
      <w:r>
        <w:rPr>
          <w:rFonts w:hint="eastAsia" w:eastAsia="仿宋_GB2312"/>
          <w:kern w:val="0"/>
          <w:sz w:val="32"/>
          <w:szCs w:val="32"/>
        </w:rPr>
        <w:t>及时</w:t>
      </w:r>
      <w:r>
        <w:rPr>
          <w:rFonts w:eastAsia="仿宋_GB2312"/>
          <w:kern w:val="0"/>
          <w:sz w:val="32"/>
          <w:szCs w:val="32"/>
        </w:rPr>
        <w:t>纳入生态保护红线统一管理。分类有序解决重点自然保护地内的历史遗留问题，对核心保护区内原住居民实施有序搬迁，暂时不能搬迁的，设立过渡期，允许开展必要的、基本的生产活动，但不能再扩大发展；核心保护区</w:t>
      </w:r>
      <w:r>
        <w:rPr>
          <w:rFonts w:hint="eastAsia" w:eastAsia="仿宋_GB2312"/>
          <w:kern w:val="0"/>
          <w:sz w:val="32"/>
          <w:szCs w:val="32"/>
        </w:rPr>
        <w:t>内</w:t>
      </w:r>
      <w:r>
        <w:rPr>
          <w:rFonts w:eastAsia="仿宋_GB2312"/>
          <w:kern w:val="0"/>
          <w:sz w:val="32"/>
          <w:szCs w:val="32"/>
        </w:rPr>
        <w:t>依法设立的铀矿矿业权、油气探矿权可以保留，依法设立的地热、矿泉水采矿权到期后退出，其他矿业权逐步有序退出；依法清理整治违法探矿采矿、水电开发、工业建设等破坏生态环境项目。建设生态廊道、开展重要栖息地恢复和</w:t>
      </w:r>
      <w:r>
        <w:rPr>
          <w:rFonts w:hint="eastAsia" w:eastAsia="仿宋_GB2312"/>
          <w:kern w:val="0"/>
          <w:sz w:val="32"/>
          <w:szCs w:val="32"/>
        </w:rPr>
        <w:t>废弃地</w:t>
      </w:r>
      <w:r>
        <w:rPr>
          <w:rFonts w:eastAsia="仿宋_GB2312"/>
          <w:kern w:val="0"/>
          <w:sz w:val="32"/>
          <w:szCs w:val="32"/>
        </w:rPr>
        <w:t>修复。加强野外保护站点、巡护路网、监测监控、应急救灾、森林草原防火、有害生物防治和疫源疫病防控等保护管理设施建设，利用高科技手段和现代化设备促进自然保育、巡护和监测的信息化智能化。</w:t>
      </w:r>
    </w:p>
    <w:bookmarkEnd w:id="139"/>
    <w:bookmarkEnd w:id="140"/>
    <w:bookmarkEnd w:id="141"/>
    <w:p w14:paraId="384D7BA1">
      <w:pPr>
        <w:pStyle w:val="3"/>
        <w:spacing w:before="156" w:beforeLines="50" w:after="156" w:afterLines="50" w:line="600" w:lineRule="exact"/>
        <w:rPr>
          <w:rFonts w:ascii="Times New Roman" w:hAnsi="Times New Roman"/>
          <w:b w:val="0"/>
          <w:bCs w:val="0"/>
        </w:rPr>
      </w:pPr>
      <w:bookmarkStart w:id="144" w:name="_Toc155861061"/>
      <w:bookmarkStart w:id="145" w:name="_Toc160715639"/>
      <w:r>
        <w:rPr>
          <w:rFonts w:ascii="Times New Roman" w:hAnsi="Times New Roman"/>
          <w:b w:val="0"/>
          <w:bCs w:val="0"/>
        </w:rPr>
        <w:t>第二节 提升重要空间生态</w:t>
      </w:r>
      <w:bookmarkEnd w:id="142"/>
      <w:bookmarkEnd w:id="143"/>
      <w:r>
        <w:rPr>
          <w:rFonts w:ascii="Times New Roman" w:hAnsi="Times New Roman"/>
          <w:b w:val="0"/>
          <w:bCs w:val="0"/>
        </w:rPr>
        <w:t>功能</w:t>
      </w:r>
      <w:bookmarkEnd w:id="144"/>
      <w:bookmarkEnd w:id="145"/>
    </w:p>
    <w:p w14:paraId="21D09AE0">
      <w:pPr>
        <w:spacing w:line="600" w:lineRule="exact"/>
        <w:ind w:firstLine="640" w:firstLineChars="200"/>
        <w:rPr>
          <w:rFonts w:eastAsia="仿宋"/>
          <w:strike/>
          <w:sz w:val="32"/>
          <w:szCs w:val="32"/>
        </w:rPr>
      </w:pPr>
      <w:r>
        <w:rPr>
          <w:rFonts w:eastAsia="楷体_GB2312"/>
          <w:bCs/>
          <w:kern w:val="0"/>
          <w:sz w:val="32"/>
          <w:szCs w:val="32"/>
        </w:rPr>
        <w:t>强化大兴安岭、阴山、贺兰山等山脉生态建设。</w:t>
      </w:r>
      <w:r>
        <w:rPr>
          <w:rFonts w:eastAsia="仿宋_GB2312"/>
          <w:kern w:val="0"/>
          <w:sz w:val="32"/>
          <w:szCs w:val="32"/>
        </w:rPr>
        <w:t>着力</w:t>
      </w:r>
      <w:r>
        <w:rPr>
          <w:rFonts w:hint="eastAsia" w:eastAsia="仿宋_GB2312"/>
          <w:kern w:val="0"/>
          <w:sz w:val="32"/>
          <w:szCs w:val="32"/>
        </w:rPr>
        <w:t>建设</w:t>
      </w:r>
      <w:r>
        <w:rPr>
          <w:rFonts w:eastAsia="仿宋_GB2312"/>
          <w:kern w:val="0"/>
          <w:sz w:val="32"/>
          <w:szCs w:val="32"/>
        </w:rPr>
        <w:t>大兴安岭、阴山山脉、贺兰山山脉</w:t>
      </w:r>
      <w:r>
        <w:rPr>
          <w:rFonts w:hint="eastAsia" w:eastAsia="仿宋_GB2312"/>
          <w:kern w:val="0"/>
          <w:sz w:val="32"/>
          <w:szCs w:val="32"/>
        </w:rPr>
        <w:t>等</w:t>
      </w:r>
      <w:r>
        <w:rPr>
          <w:rFonts w:eastAsia="仿宋_GB2312"/>
          <w:kern w:val="0"/>
          <w:sz w:val="32"/>
          <w:szCs w:val="32"/>
        </w:rPr>
        <w:t>生态脊梁，推动实施东北森林带和北方防沙带生态建设工程，加强森林、草原、河湖等生态系统整体保护，开展重点区域生态保护和修复专项建设，推进林草植被生态恢复，巩固提升生态系统碳汇能力。实施森林提质增效，全面加强天然林保育、公益林管护、退化林修复。保护珍稀野生动植物，维护生物多样性。加强大兴安岭、阴山、贺兰山“三山”过渡区防风固沙治理，连通重要生态廊道。提升大兴安岭天然林、阴山山脉次生林和贺兰山山脉天然林等生态安全屏障功能，提高</w:t>
      </w:r>
      <w:r>
        <w:rPr>
          <w:rFonts w:hint="eastAsia" w:eastAsia="仿宋_GB2312"/>
          <w:kern w:val="0"/>
          <w:sz w:val="32"/>
          <w:szCs w:val="32"/>
        </w:rPr>
        <w:t>“</w:t>
      </w:r>
      <w:r>
        <w:rPr>
          <w:rFonts w:eastAsia="仿宋_GB2312"/>
          <w:kern w:val="0"/>
          <w:sz w:val="32"/>
          <w:szCs w:val="32"/>
        </w:rPr>
        <w:t>三山</w:t>
      </w:r>
      <w:r>
        <w:rPr>
          <w:rFonts w:hint="eastAsia" w:eastAsia="仿宋_GB2312"/>
          <w:kern w:val="0"/>
          <w:sz w:val="32"/>
          <w:szCs w:val="32"/>
        </w:rPr>
        <w:t>”</w:t>
      </w:r>
      <w:r>
        <w:rPr>
          <w:rFonts w:eastAsia="仿宋_GB2312"/>
          <w:kern w:val="0"/>
          <w:sz w:val="32"/>
          <w:szCs w:val="32"/>
        </w:rPr>
        <w:t>水源涵养、水土保持、生物多样性等生态</w:t>
      </w:r>
      <w:r>
        <w:rPr>
          <w:rFonts w:hint="eastAsia" w:eastAsia="仿宋_GB2312"/>
          <w:kern w:val="0"/>
          <w:sz w:val="32"/>
          <w:szCs w:val="32"/>
        </w:rPr>
        <w:t>功</w:t>
      </w:r>
      <w:r>
        <w:rPr>
          <w:rFonts w:eastAsia="仿宋_GB2312"/>
          <w:kern w:val="0"/>
          <w:sz w:val="32"/>
          <w:szCs w:val="32"/>
        </w:rPr>
        <w:t>能。</w:t>
      </w:r>
    </w:p>
    <w:p w14:paraId="43C6F7C8">
      <w:pPr>
        <w:spacing w:line="600" w:lineRule="exact"/>
        <w:ind w:firstLine="640" w:firstLineChars="200"/>
        <w:rPr>
          <w:rFonts w:eastAsia="仿宋_GB2312"/>
          <w:kern w:val="0"/>
          <w:sz w:val="32"/>
          <w:szCs w:val="32"/>
        </w:rPr>
      </w:pPr>
      <w:r>
        <w:rPr>
          <w:rFonts w:eastAsia="仿宋_GB2312"/>
          <w:kern w:val="0"/>
          <w:sz w:val="32"/>
          <w:szCs w:val="32"/>
        </w:rPr>
        <w:t>大兴安岭生态保护。实施天然林保护、低质低效林提质增效，恢复森林生态系统功能，提高森林质量，建设木材战略储备基地。推动保护性林副产品的开发利用，助力森林生态修复。</w:t>
      </w:r>
    </w:p>
    <w:p w14:paraId="0FE8FEB2">
      <w:pPr>
        <w:spacing w:line="600" w:lineRule="exact"/>
        <w:ind w:firstLine="640" w:firstLineChars="200"/>
        <w:rPr>
          <w:rFonts w:eastAsia="仿宋_GB2312"/>
          <w:kern w:val="0"/>
          <w:sz w:val="32"/>
          <w:szCs w:val="32"/>
        </w:rPr>
      </w:pPr>
      <w:r>
        <w:rPr>
          <w:rFonts w:eastAsia="仿宋_GB2312"/>
          <w:kern w:val="0"/>
          <w:sz w:val="32"/>
          <w:szCs w:val="32"/>
        </w:rPr>
        <w:t>阴山</w:t>
      </w:r>
      <w:r>
        <w:rPr>
          <w:rFonts w:hint="eastAsia" w:eastAsia="仿宋_GB2312"/>
          <w:kern w:val="0"/>
          <w:sz w:val="32"/>
          <w:szCs w:val="32"/>
        </w:rPr>
        <w:t>山脉</w:t>
      </w:r>
      <w:r>
        <w:rPr>
          <w:rFonts w:eastAsia="仿宋_GB2312"/>
          <w:kern w:val="0"/>
          <w:sz w:val="32"/>
          <w:szCs w:val="32"/>
        </w:rPr>
        <w:t>生态保护。坚持保护与建设并重，加强天然林保护和自然保护地建设</w:t>
      </w:r>
      <w:r>
        <w:rPr>
          <w:rFonts w:hint="eastAsia" w:eastAsia="仿宋_GB2312"/>
          <w:kern w:val="0"/>
          <w:sz w:val="32"/>
          <w:szCs w:val="32"/>
        </w:rPr>
        <w:t>，</w:t>
      </w:r>
      <w:r>
        <w:rPr>
          <w:rFonts w:eastAsia="仿宋_GB2312"/>
          <w:kern w:val="0"/>
          <w:sz w:val="32"/>
          <w:szCs w:val="32"/>
        </w:rPr>
        <w:t>增加森林面积，提高植被覆盖率，提升生态服务功能，充分发挥其生态屏障功能。</w:t>
      </w:r>
    </w:p>
    <w:p w14:paraId="1BB4B01A">
      <w:pPr>
        <w:spacing w:line="600" w:lineRule="exact"/>
        <w:ind w:firstLine="640" w:firstLineChars="200"/>
        <w:rPr>
          <w:rFonts w:eastAsia="仿宋_GB2312"/>
          <w:kern w:val="0"/>
          <w:sz w:val="32"/>
          <w:szCs w:val="32"/>
        </w:rPr>
      </w:pPr>
      <w:r>
        <w:rPr>
          <w:rFonts w:eastAsia="仿宋_GB2312"/>
          <w:kern w:val="0"/>
          <w:sz w:val="32"/>
          <w:szCs w:val="32"/>
        </w:rPr>
        <w:t>贺兰山</w:t>
      </w:r>
      <w:r>
        <w:rPr>
          <w:rFonts w:hint="eastAsia" w:eastAsia="仿宋_GB2312"/>
          <w:kern w:val="0"/>
          <w:sz w:val="32"/>
          <w:szCs w:val="32"/>
        </w:rPr>
        <w:t>山脉</w:t>
      </w:r>
      <w:r>
        <w:rPr>
          <w:rFonts w:eastAsia="仿宋_GB2312"/>
          <w:kern w:val="0"/>
          <w:sz w:val="32"/>
          <w:szCs w:val="32"/>
        </w:rPr>
        <w:t>生态保护。全面保护天然林资源，实施封山育林、退牧封禁，加强防护林建设和退化林修复，预防水土流失。有效提升地下水涵养，增强地下水储备能力</w:t>
      </w:r>
      <w:r>
        <w:rPr>
          <w:rFonts w:hint="eastAsia" w:eastAsia="仿宋_GB2312"/>
          <w:kern w:val="0"/>
          <w:sz w:val="32"/>
          <w:szCs w:val="32"/>
        </w:rPr>
        <w:t>。</w:t>
      </w:r>
      <w:r>
        <w:rPr>
          <w:rFonts w:eastAsia="仿宋_GB2312"/>
          <w:kern w:val="0"/>
          <w:sz w:val="32"/>
          <w:szCs w:val="32"/>
        </w:rPr>
        <w:t>强化珍贵稀有动植物资源及栖息地保护，提升区域生态屏障功能和生物多样性保护水平。</w:t>
      </w:r>
    </w:p>
    <w:p w14:paraId="6C272C4E">
      <w:pPr>
        <w:spacing w:line="600" w:lineRule="exact"/>
        <w:ind w:firstLine="640" w:firstLineChars="200"/>
        <w:rPr>
          <w:rFonts w:eastAsia="仿宋_GB2312"/>
          <w:kern w:val="0"/>
          <w:sz w:val="32"/>
          <w:szCs w:val="32"/>
        </w:rPr>
      </w:pPr>
      <w:r>
        <w:rPr>
          <w:rFonts w:eastAsia="楷体_GB2312"/>
          <w:bCs/>
          <w:kern w:val="0"/>
          <w:sz w:val="32"/>
          <w:szCs w:val="32"/>
        </w:rPr>
        <w:t>发挥北部草原保护带生态功能。</w:t>
      </w:r>
      <w:r>
        <w:rPr>
          <w:rFonts w:eastAsia="仿宋_GB2312"/>
          <w:kern w:val="0"/>
          <w:sz w:val="32"/>
          <w:szCs w:val="32"/>
        </w:rPr>
        <w:t>针对内蒙古</w:t>
      </w:r>
      <w:r>
        <w:rPr>
          <w:rFonts w:hint="eastAsia" w:eastAsia="仿宋_GB2312"/>
          <w:kern w:val="0"/>
          <w:sz w:val="32"/>
          <w:szCs w:val="32"/>
        </w:rPr>
        <w:t>自治区</w:t>
      </w:r>
      <w:r>
        <w:rPr>
          <w:rFonts w:eastAsia="仿宋_GB2312"/>
          <w:kern w:val="0"/>
          <w:sz w:val="32"/>
          <w:szCs w:val="32"/>
        </w:rPr>
        <w:t>草原面积大，沙地、沙漠、河流湖泊在草原区镶嵌分布的特点，建设涵盖呼伦贝尔、科尔沁、锡林郭勒、乌兰察布、阿拉善等草原及沙漠、沙地、荒漠戈壁的北方草原保护带，增强生态系统连通性，发挥保障东北、华北、西北安全的草原生态功能</w:t>
      </w:r>
      <w:r>
        <w:rPr>
          <w:rFonts w:hint="eastAsia" w:eastAsia="仿宋_GB2312"/>
          <w:kern w:val="0"/>
          <w:sz w:val="32"/>
          <w:szCs w:val="32"/>
        </w:rPr>
        <w:t>。</w:t>
      </w:r>
      <w:r>
        <w:rPr>
          <w:rFonts w:eastAsia="仿宋_GB2312"/>
          <w:kern w:val="0"/>
          <w:sz w:val="32"/>
          <w:szCs w:val="32"/>
        </w:rPr>
        <w:t>到2035年，草原退化沙化趋势得到有效控制。</w:t>
      </w:r>
    </w:p>
    <w:p w14:paraId="60542270">
      <w:pPr>
        <w:spacing w:line="600" w:lineRule="exact"/>
        <w:ind w:firstLine="640" w:firstLineChars="200"/>
        <w:rPr>
          <w:rFonts w:eastAsia="仿宋_GB2312"/>
          <w:kern w:val="0"/>
          <w:sz w:val="32"/>
          <w:szCs w:val="32"/>
        </w:rPr>
      </w:pPr>
      <w:r>
        <w:rPr>
          <w:rFonts w:eastAsia="仿宋_GB2312"/>
          <w:kern w:val="0"/>
          <w:sz w:val="32"/>
          <w:szCs w:val="32"/>
        </w:rPr>
        <w:t>优化调整基本草原布局。强化基本草原保护，开展草原生态保护和修复，提高草原植被盖度和生物多样性，推进人、畜、草生态平衡。积极开展生态宜居搬迁，加强草种资源收集和保存，修复退化草原，恢复和提升草原生态系统功能。严格执行基本草原保护相关</w:t>
      </w:r>
      <w:r>
        <w:rPr>
          <w:rFonts w:hint="eastAsia" w:eastAsia="仿宋_GB2312"/>
          <w:kern w:val="0"/>
          <w:sz w:val="32"/>
          <w:szCs w:val="32"/>
        </w:rPr>
        <w:t>规定</w:t>
      </w:r>
      <w:r>
        <w:rPr>
          <w:rFonts w:eastAsia="仿宋_GB2312"/>
          <w:kern w:val="0"/>
          <w:sz w:val="32"/>
          <w:szCs w:val="32"/>
        </w:rPr>
        <w:t>，严禁在草原上乱采滥挖，破坏草原生态环境，确需征收、征用或者使用草原的，征占用面积应控制在最小合理限度内，使用时间、利用强度、采挖方式等必须符合审批要求，并采取保护草原植被的措施。加强草原区沙化土地综合治理，对科尔沁、浑善达克、乌珠穆沁、呼伦贝尔、毛乌素等沙地和风沙源</w:t>
      </w:r>
      <w:r>
        <w:rPr>
          <w:rFonts w:hint="eastAsia" w:eastAsia="仿宋_GB2312"/>
          <w:kern w:val="0"/>
          <w:sz w:val="32"/>
          <w:szCs w:val="32"/>
        </w:rPr>
        <w:t>实施</w:t>
      </w:r>
      <w:r>
        <w:rPr>
          <w:rFonts w:eastAsia="仿宋_GB2312"/>
          <w:kern w:val="0"/>
          <w:sz w:val="32"/>
          <w:szCs w:val="32"/>
        </w:rPr>
        <w:t>精准治理。</w:t>
      </w:r>
    </w:p>
    <w:p w14:paraId="256E9B59">
      <w:pPr>
        <w:spacing w:line="600" w:lineRule="exact"/>
        <w:ind w:firstLine="640" w:firstLineChars="200"/>
        <w:rPr>
          <w:rFonts w:eastAsia="仿宋_GB2312"/>
          <w:kern w:val="0"/>
          <w:sz w:val="32"/>
          <w:szCs w:val="32"/>
        </w:rPr>
      </w:pPr>
      <w:r>
        <w:rPr>
          <w:rFonts w:eastAsia="楷体_GB2312"/>
          <w:bCs/>
          <w:kern w:val="0"/>
          <w:sz w:val="32"/>
          <w:szCs w:val="32"/>
        </w:rPr>
        <w:t>提升南部农牧交错带生态功能。</w:t>
      </w:r>
      <w:r>
        <w:rPr>
          <w:rFonts w:eastAsia="仿宋_GB2312"/>
          <w:kern w:val="0"/>
          <w:sz w:val="32"/>
          <w:szCs w:val="32"/>
        </w:rPr>
        <w:t>围绕农牧结构失衡、水资源过度开发等问题，根据资源环境承载能力，以推进农业结构调整为重点，进一步优化区域农牧业功能、推进农牧产业转型升级，促进农牧业发展与生态保护深度融合</w:t>
      </w:r>
      <w:bookmarkStart w:id="146" w:name="_Hlk60143161"/>
      <w:r>
        <w:rPr>
          <w:rFonts w:eastAsia="仿宋_GB2312"/>
          <w:kern w:val="0"/>
          <w:sz w:val="32"/>
          <w:szCs w:val="32"/>
        </w:rPr>
        <w:t>，建设林茂草丰、牧业发达、特色高效、资源循环的生态农牧区，形成牧农林复合、草果田契合、一二三产融合的利用体系和投入减量、生产清洁、资源节约、循环再生的发展新模式。加快科尔沁草原沙化退化地区治理，全面恢复科尔沁草原生态系统功能，发展生态型种养业和保护性节水农业，强化地下水超采区综合治理与污染协同防治。赤峰市、锡林郭勒盟、乌兰察布市、呼和浩特市和包头市的农牧交错地区，重点开展退化草原、沙化耕地治理，发展旱作农业。鄂尔多斯等黄土丘陵沟壑水土流失地区，重点开展水土流失治理，提高植被盖度，开展保护性耕作，提升农业</w:t>
      </w:r>
      <w:bookmarkEnd w:id="146"/>
      <w:r>
        <w:rPr>
          <w:rFonts w:eastAsia="仿宋_GB2312"/>
          <w:kern w:val="0"/>
          <w:sz w:val="32"/>
          <w:szCs w:val="32"/>
        </w:rPr>
        <w:t>生产可持续性。加大库布其沙漠锁边治理</w:t>
      </w:r>
      <w:r>
        <w:rPr>
          <w:rFonts w:hint="eastAsia" w:eastAsia="仿宋_GB2312"/>
          <w:kern w:val="0"/>
          <w:sz w:val="32"/>
          <w:szCs w:val="32"/>
        </w:rPr>
        <w:t>力度</w:t>
      </w:r>
      <w:r>
        <w:rPr>
          <w:rFonts w:eastAsia="仿宋_GB2312"/>
          <w:kern w:val="0"/>
          <w:sz w:val="32"/>
          <w:szCs w:val="32"/>
        </w:rPr>
        <w:t>。到2035年，南部农牧交错生态功能明显增强。</w:t>
      </w:r>
    </w:p>
    <w:p w14:paraId="5E93E66B">
      <w:pPr>
        <w:spacing w:line="600" w:lineRule="exact"/>
        <w:ind w:firstLine="640" w:firstLineChars="200"/>
        <w:rPr>
          <w:rFonts w:eastAsia="仿宋_GB2312"/>
          <w:kern w:val="0"/>
          <w:sz w:val="32"/>
          <w:szCs w:val="32"/>
        </w:rPr>
      </w:pPr>
      <w:r>
        <w:rPr>
          <w:rFonts w:eastAsia="楷体_GB2312"/>
          <w:bCs/>
          <w:kern w:val="0"/>
          <w:sz w:val="32"/>
          <w:szCs w:val="32"/>
        </w:rPr>
        <w:t>加强内蒙古黄河流域生态保护。</w:t>
      </w:r>
      <w:r>
        <w:rPr>
          <w:rFonts w:eastAsia="仿宋_GB2312"/>
          <w:kern w:val="0"/>
          <w:sz w:val="32"/>
          <w:szCs w:val="32"/>
        </w:rPr>
        <w:t>统筹考虑干流与支流、岸上与岸下、治水与治沙、防洪与分洪，编制并实施内蒙古黄河流域国土空间规划，坚持在高水平保护中促进高质量发展、在高质量发展中推进高水平保护，严格执行国土空间用途管制制度，加强黄河流域生态保护，强化水资源刚性约束，促进生产要素向优势地区集中集聚，提高资源配置效率，加快传统产业智能化、清洁化改造和现代能源经济示范区建设。</w:t>
      </w:r>
    </w:p>
    <w:p w14:paraId="64690B03">
      <w:pPr>
        <w:spacing w:line="600" w:lineRule="exact"/>
        <w:ind w:firstLine="640" w:firstLineChars="200"/>
        <w:rPr>
          <w:rFonts w:eastAsia="仿宋_GB2312"/>
          <w:kern w:val="0"/>
          <w:sz w:val="32"/>
          <w:szCs w:val="32"/>
        </w:rPr>
      </w:pPr>
      <w:r>
        <w:rPr>
          <w:rFonts w:hint="eastAsia" w:ascii="仿宋_GB2312" w:hAnsi="仿宋_GB2312" w:eastAsia="仿宋_GB2312" w:cs="仿宋_GB2312"/>
          <w:bCs/>
          <w:kern w:val="0"/>
          <w:sz w:val="32"/>
          <w:szCs w:val="32"/>
        </w:rPr>
        <w:t>强化重点区域生态保护与修复。</w:t>
      </w:r>
      <w:r>
        <w:rPr>
          <w:rFonts w:eastAsia="仿宋_GB2312"/>
          <w:kern w:val="0"/>
          <w:sz w:val="32"/>
          <w:szCs w:val="32"/>
        </w:rPr>
        <w:t>立足黄河流域国土空间资源禀赋，按照</w:t>
      </w:r>
      <w:r>
        <w:rPr>
          <w:rFonts w:hint="eastAsia" w:eastAsia="仿宋_GB2312"/>
          <w:kern w:val="0"/>
          <w:sz w:val="32"/>
          <w:szCs w:val="32"/>
        </w:rPr>
        <w:t>“</w:t>
      </w:r>
      <w:r>
        <w:rPr>
          <w:rFonts w:eastAsia="仿宋_GB2312"/>
          <w:kern w:val="0"/>
          <w:sz w:val="32"/>
          <w:szCs w:val="32"/>
        </w:rPr>
        <w:t>共同抓好大保护，协同推进大治理</w:t>
      </w:r>
      <w:r>
        <w:rPr>
          <w:rFonts w:hint="eastAsia" w:eastAsia="仿宋_GB2312"/>
          <w:kern w:val="0"/>
          <w:sz w:val="32"/>
          <w:szCs w:val="32"/>
        </w:rPr>
        <w:t>”</w:t>
      </w:r>
      <w:r>
        <w:rPr>
          <w:rFonts w:eastAsia="仿宋_GB2312"/>
          <w:kern w:val="0"/>
          <w:sz w:val="32"/>
          <w:szCs w:val="32"/>
        </w:rPr>
        <w:t>的总方针，坚持山水林田湖草沙综合治理、系统治理、源头治理。实施库布其、乌兰布和、毛乌素等重点区域防沙治沙</w:t>
      </w:r>
      <w:r>
        <w:rPr>
          <w:rFonts w:hint="eastAsia" w:eastAsia="仿宋_GB2312"/>
          <w:kern w:val="0"/>
          <w:sz w:val="32"/>
          <w:szCs w:val="32"/>
        </w:rPr>
        <w:t>，以</w:t>
      </w:r>
      <w:r>
        <w:rPr>
          <w:rFonts w:eastAsia="仿宋_GB2312"/>
          <w:kern w:val="0"/>
          <w:sz w:val="32"/>
          <w:szCs w:val="32"/>
        </w:rPr>
        <w:t>及砒砂岩、黄土丘陵区等</w:t>
      </w:r>
      <w:r>
        <w:rPr>
          <w:rFonts w:hint="eastAsia" w:eastAsia="仿宋_GB2312"/>
          <w:kern w:val="0"/>
          <w:sz w:val="32"/>
          <w:szCs w:val="32"/>
        </w:rPr>
        <w:t>区域的</w:t>
      </w:r>
      <w:r>
        <w:rPr>
          <w:rFonts w:eastAsia="仿宋_GB2312"/>
          <w:kern w:val="0"/>
          <w:sz w:val="32"/>
          <w:szCs w:val="32"/>
        </w:rPr>
        <w:t>十大孔兑水土流失控制能力建设，大力推进黄河流域生态建设。加大</w:t>
      </w:r>
      <w:r>
        <w:rPr>
          <w:rFonts w:hint="eastAsia" w:eastAsia="仿宋_GB2312"/>
          <w:kern w:val="0"/>
          <w:sz w:val="32"/>
          <w:szCs w:val="32"/>
        </w:rPr>
        <w:t>黄河流域</w:t>
      </w:r>
      <w:r>
        <w:rPr>
          <w:rFonts w:eastAsia="仿宋_GB2312"/>
          <w:kern w:val="0"/>
          <w:sz w:val="32"/>
          <w:szCs w:val="32"/>
        </w:rPr>
        <w:t>露天矿山综合整治力度，推进历史遗留矿山地质环境</w:t>
      </w:r>
      <w:r>
        <w:rPr>
          <w:rFonts w:hint="eastAsia" w:eastAsia="仿宋_GB2312"/>
          <w:kern w:val="0"/>
          <w:sz w:val="32"/>
          <w:szCs w:val="32"/>
        </w:rPr>
        <w:t>治理</w:t>
      </w:r>
      <w:r>
        <w:rPr>
          <w:rFonts w:eastAsia="仿宋_GB2312"/>
          <w:kern w:val="0"/>
          <w:sz w:val="32"/>
          <w:szCs w:val="32"/>
        </w:rPr>
        <w:t>，加快绿色矿山建设及都思兔河、昆都仑河、大黑河、浑河、无定河等黄河重要支流的综合治理。</w:t>
      </w:r>
    </w:p>
    <w:p w14:paraId="07FD1309">
      <w:pPr>
        <w:spacing w:line="600" w:lineRule="exact"/>
        <w:ind w:firstLine="640" w:firstLineChars="200"/>
        <w:rPr>
          <w:rFonts w:hint="eastAsia" w:eastAsia="仿宋_GB2312"/>
          <w:kern w:val="0"/>
          <w:sz w:val="32"/>
          <w:szCs w:val="32"/>
        </w:rPr>
      </w:pPr>
      <w:r>
        <w:rPr>
          <w:rFonts w:hint="eastAsia" w:ascii="仿宋_GB2312" w:hAnsi="仿宋_GB2312" w:eastAsia="仿宋_GB2312" w:cs="仿宋_GB2312"/>
          <w:bCs/>
          <w:sz w:val="32"/>
          <w:szCs w:val="32"/>
        </w:rPr>
        <w:t>加强黄河岸线空间管控。</w:t>
      </w:r>
      <w:r>
        <w:rPr>
          <w:rFonts w:eastAsia="仿宋_GB2312"/>
          <w:kern w:val="0"/>
          <w:sz w:val="32"/>
          <w:szCs w:val="32"/>
        </w:rPr>
        <w:t>以</w:t>
      </w:r>
      <w:r>
        <w:rPr>
          <w:rFonts w:hint="eastAsia" w:eastAsia="仿宋_GB2312"/>
          <w:kern w:val="0"/>
          <w:sz w:val="32"/>
          <w:szCs w:val="32"/>
        </w:rPr>
        <w:t>“</w:t>
      </w:r>
      <w:r>
        <w:rPr>
          <w:rFonts w:eastAsia="仿宋_GB2312"/>
          <w:kern w:val="0"/>
          <w:sz w:val="32"/>
          <w:szCs w:val="32"/>
        </w:rPr>
        <w:t>三区三线</w:t>
      </w:r>
      <w:r>
        <w:rPr>
          <w:rFonts w:hint="eastAsia" w:eastAsia="仿宋_GB2312"/>
          <w:kern w:val="0"/>
          <w:sz w:val="32"/>
          <w:szCs w:val="32"/>
        </w:rPr>
        <w:t>”</w:t>
      </w:r>
      <w:r>
        <w:rPr>
          <w:rFonts w:eastAsia="仿宋_GB2312"/>
          <w:kern w:val="0"/>
          <w:sz w:val="32"/>
          <w:szCs w:val="32"/>
        </w:rPr>
        <w:t>为基础，强化黄河干支流岸线的生态空间保护，严格管控开发利用强度和方式，在黄河干支流岸线管控范围内，禁止新建、扩建化工类开发区和化工项目</w:t>
      </w:r>
      <w:r>
        <w:rPr>
          <w:rFonts w:hint="eastAsia" w:eastAsia="仿宋_GB2312"/>
          <w:kern w:val="0"/>
          <w:sz w:val="32"/>
          <w:szCs w:val="32"/>
        </w:rPr>
        <w:t>。在</w:t>
      </w:r>
      <w:r>
        <w:rPr>
          <w:rFonts w:eastAsia="仿宋_GB2312"/>
          <w:kern w:val="0"/>
          <w:sz w:val="32"/>
          <w:szCs w:val="32"/>
        </w:rPr>
        <w:t>黄河干流岸线和重要支流岸线的管控范围内，</w:t>
      </w:r>
      <w:r>
        <w:rPr>
          <w:rFonts w:hint="eastAsia" w:eastAsia="仿宋_GB2312"/>
          <w:kern w:val="0"/>
          <w:sz w:val="32"/>
          <w:szCs w:val="32"/>
        </w:rPr>
        <w:t>除</w:t>
      </w:r>
      <w:r>
        <w:rPr>
          <w:rFonts w:eastAsia="仿宋_GB2312"/>
          <w:kern w:val="0"/>
          <w:sz w:val="32"/>
          <w:szCs w:val="32"/>
        </w:rPr>
        <w:t>以提升安全水平、生态环境保护水平为目的的改建</w:t>
      </w:r>
      <w:r>
        <w:rPr>
          <w:rFonts w:hint="eastAsia" w:eastAsia="仿宋_GB2312"/>
          <w:kern w:val="0"/>
          <w:sz w:val="32"/>
          <w:szCs w:val="32"/>
        </w:rPr>
        <w:t>外，</w:t>
      </w:r>
      <w:r>
        <w:rPr>
          <w:rFonts w:eastAsia="仿宋_GB2312"/>
          <w:kern w:val="0"/>
          <w:sz w:val="32"/>
          <w:szCs w:val="32"/>
        </w:rPr>
        <w:t>禁止新建、改建、扩建尾矿库</w:t>
      </w:r>
      <w:r>
        <w:rPr>
          <w:rFonts w:hint="eastAsia" w:eastAsia="仿宋_GB2312"/>
          <w:kern w:val="0"/>
          <w:sz w:val="32"/>
          <w:szCs w:val="32"/>
        </w:rPr>
        <w:t>。</w:t>
      </w:r>
    </w:p>
    <w:p w14:paraId="068912B6">
      <w:pPr>
        <w:spacing w:line="600" w:lineRule="exact"/>
        <w:ind w:firstLine="640" w:firstLineChars="200"/>
        <w:rPr>
          <w:rFonts w:eastAsia="仿宋_GB2312"/>
          <w:kern w:val="0"/>
          <w:sz w:val="32"/>
          <w:szCs w:val="32"/>
        </w:rPr>
      </w:pPr>
      <w:bookmarkStart w:id="147" w:name="OLE_LINK20"/>
      <w:r>
        <w:rPr>
          <w:rFonts w:eastAsia="楷体_GB2312"/>
          <w:bCs/>
          <w:kern w:val="0"/>
          <w:sz w:val="32"/>
          <w:szCs w:val="32"/>
        </w:rPr>
        <w:t>发挥湖泊、湿地等</w:t>
      </w:r>
      <w:r>
        <w:rPr>
          <w:rFonts w:hint="eastAsia" w:ascii="楷体_GB2312" w:eastAsia="楷体_GB2312"/>
          <w:kern w:val="0"/>
          <w:sz w:val="32"/>
          <w:szCs w:val="32"/>
        </w:rPr>
        <w:t>“</w:t>
      </w:r>
      <w:r>
        <w:rPr>
          <w:rFonts w:hint="eastAsia" w:ascii="楷体_GB2312" w:eastAsia="楷体_GB2312"/>
          <w:bCs/>
          <w:kern w:val="0"/>
          <w:sz w:val="32"/>
          <w:szCs w:val="32"/>
        </w:rPr>
        <w:t>多点</w:t>
      </w:r>
      <w:r>
        <w:rPr>
          <w:rFonts w:hint="eastAsia" w:ascii="楷体_GB2312" w:eastAsia="楷体_GB2312"/>
          <w:kern w:val="0"/>
          <w:sz w:val="32"/>
          <w:szCs w:val="32"/>
        </w:rPr>
        <w:t>”</w:t>
      </w:r>
      <w:r>
        <w:rPr>
          <w:rFonts w:eastAsia="楷体_GB2312"/>
          <w:bCs/>
          <w:kern w:val="0"/>
          <w:sz w:val="32"/>
          <w:szCs w:val="32"/>
        </w:rPr>
        <w:t>的关键生态功能</w:t>
      </w:r>
      <w:bookmarkEnd w:id="147"/>
      <w:r>
        <w:rPr>
          <w:rFonts w:eastAsia="楷体_GB2312"/>
          <w:bCs/>
          <w:kern w:val="0"/>
          <w:sz w:val="32"/>
          <w:szCs w:val="32"/>
        </w:rPr>
        <w:t>。</w:t>
      </w:r>
      <w:r>
        <w:rPr>
          <w:rFonts w:eastAsia="仿宋_GB2312"/>
          <w:kern w:val="0"/>
          <w:sz w:val="32"/>
          <w:szCs w:val="32"/>
        </w:rPr>
        <w:t>充分发挥呼伦湖、察汗淖尔、达里诺尔、乌梁素海、岱海、黄旗海和查干诺尔等湖泊，巴林雅鲁河、大兴安岭根河源、牛耳河、额尔古纳等湿地重要生态功能关键节点作用，维持水生态系统稳定性，突出湖泊、湿地生态系统多功能耦合。科学推进河湖湿地水系连通工程建设，做好呼伦湖、乌梁素海、岱海、哈素海等重点湖泊生态保护，改善流域生态环境，维护湿地生态功能的稳定。</w:t>
      </w:r>
    </w:p>
    <w:p w14:paraId="6B732458">
      <w:pPr>
        <w:pStyle w:val="3"/>
        <w:spacing w:before="156" w:beforeLines="50" w:after="156" w:afterLines="50" w:line="600" w:lineRule="exact"/>
        <w:rPr>
          <w:rFonts w:ascii="Times New Roman" w:hAnsi="Times New Roman"/>
          <w:b w:val="0"/>
          <w:bCs w:val="0"/>
        </w:rPr>
      </w:pPr>
      <w:bookmarkStart w:id="148" w:name="_Toc160715640"/>
      <w:bookmarkStart w:id="149" w:name="_Toc155861062"/>
      <w:bookmarkStart w:id="150" w:name="_Toc57879220"/>
      <w:bookmarkStart w:id="151" w:name="_Toc58138504"/>
      <w:bookmarkStart w:id="152" w:name="_Toc57897831"/>
      <w:r>
        <w:rPr>
          <w:rFonts w:ascii="Times New Roman" w:hAnsi="Times New Roman"/>
          <w:b w:val="0"/>
          <w:bCs w:val="0"/>
        </w:rPr>
        <w:t xml:space="preserve">第三节 </w:t>
      </w:r>
      <w:bookmarkStart w:id="153" w:name="_Hlk58156411"/>
      <w:r>
        <w:rPr>
          <w:rFonts w:ascii="Times New Roman" w:hAnsi="Times New Roman"/>
          <w:b w:val="0"/>
          <w:bCs w:val="0"/>
        </w:rPr>
        <w:t>严格生态空间管控</w:t>
      </w:r>
      <w:bookmarkEnd w:id="148"/>
      <w:bookmarkEnd w:id="149"/>
      <w:bookmarkEnd w:id="150"/>
      <w:bookmarkEnd w:id="151"/>
      <w:bookmarkEnd w:id="152"/>
      <w:bookmarkEnd w:id="153"/>
    </w:p>
    <w:p w14:paraId="4EA6960A">
      <w:pPr>
        <w:spacing w:line="600" w:lineRule="exact"/>
        <w:ind w:firstLine="640" w:firstLineChars="200"/>
        <w:rPr>
          <w:rFonts w:eastAsia="仿宋_GB2312"/>
          <w:kern w:val="0"/>
          <w:sz w:val="32"/>
          <w:szCs w:val="32"/>
        </w:rPr>
      </w:pPr>
      <w:r>
        <w:rPr>
          <w:rFonts w:eastAsia="楷体_GB2312"/>
          <w:bCs/>
          <w:kern w:val="0"/>
          <w:sz w:val="32"/>
          <w:szCs w:val="32"/>
        </w:rPr>
        <w:t>严格生态空间用途管控。</w:t>
      </w:r>
      <w:r>
        <w:rPr>
          <w:rFonts w:eastAsia="仿宋_GB2312"/>
          <w:kern w:val="0"/>
          <w:sz w:val="32"/>
          <w:szCs w:val="32"/>
        </w:rPr>
        <w:t>禁止生态保护红线</w:t>
      </w:r>
      <w:r>
        <w:rPr>
          <w:rFonts w:hint="eastAsia" w:eastAsia="仿宋_GB2312"/>
          <w:kern w:val="0"/>
          <w:sz w:val="32"/>
          <w:szCs w:val="32"/>
        </w:rPr>
        <w:t>内空间</w:t>
      </w:r>
      <w:r>
        <w:rPr>
          <w:rFonts w:eastAsia="仿宋_GB2312"/>
          <w:kern w:val="0"/>
          <w:sz w:val="32"/>
          <w:szCs w:val="32"/>
        </w:rPr>
        <w:t>违法转为城镇空间和农牧空间，严格禁止各类有损生态功能的逆向转换，严禁围湖造田、滥垦草原等非法开发建设活动。加强污水、</w:t>
      </w:r>
      <w:r>
        <w:rPr>
          <w:rFonts w:hint="eastAsia" w:eastAsia="仿宋_GB2312"/>
          <w:kern w:val="0"/>
          <w:sz w:val="32"/>
          <w:szCs w:val="32"/>
        </w:rPr>
        <w:t>固体</w:t>
      </w:r>
      <w:r>
        <w:rPr>
          <w:rFonts w:eastAsia="仿宋_GB2312"/>
          <w:kern w:val="0"/>
          <w:sz w:val="32"/>
          <w:szCs w:val="32"/>
        </w:rPr>
        <w:t>废弃物等对生态环境影响的监管考核，鼓励城镇空间和符合国家生态退耕条件的农牧空间向有利于提升生态功能的生态用途转变。生态保护红线内自然保护地核心保护区外，严格禁止开发性、生产性建设活动，在符合法律法规的前提下，仅允许对生态功能不造成破坏的有限人为活动。生态保护红线内自然保护区、风景名胜区、饮用水水源保护区等区域，依照法律法规执行。加强生态保护红线管控范围内有限人为活动管理，细化有限人为活动类型和管控措施，强化新增建设项目用地预审和审批。根据资源环境承载能力监测、生态保护重要性评价和国土空间规划实施</w:t>
      </w:r>
      <w:r>
        <w:rPr>
          <w:rFonts w:hint="eastAsia" w:eastAsia="仿宋_GB2312"/>
          <w:kern w:val="0"/>
          <w:sz w:val="32"/>
          <w:szCs w:val="32"/>
        </w:rPr>
        <w:t>“</w:t>
      </w:r>
      <w:r>
        <w:rPr>
          <w:rFonts w:eastAsia="仿宋_GB2312"/>
          <w:kern w:val="0"/>
          <w:sz w:val="32"/>
          <w:szCs w:val="32"/>
        </w:rPr>
        <w:t>五年一评估</w:t>
      </w:r>
      <w:r>
        <w:rPr>
          <w:rFonts w:hint="eastAsia" w:eastAsia="仿宋_GB2312"/>
          <w:kern w:val="0"/>
          <w:sz w:val="32"/>
          <w:szCs w:val="32"/>
        </w:rPr>
        <w:t>”</w:t>
      </w:r>
      <w:r>
        <w:rPr>
          <w:rFonts w:eastAsia="仿宋_GB2312"/>
          <w:kern w:val="0"/>
          <w:sz w:val="32"/>
          <w:szCs w:val="32"/>
        </w:rPr>
        <w:t>情况，可由自治区人民政府编制生态保护红线局部调整方案，纳入国土空间规划修改方案报国务院批准。自然保护地边界发生调整的，</w:t>
      </w:r>
      <w:r>
        <w:rPr>
          <w:rFonts w:hint="eastAsia" w:eastAsia="仿宋_GB2312"/>
          <w:kern w:val="0"/>
          <w:sz w:val="32"/>
          <w:szCs w:val="32"/>
        </w:rPr>
        <w:t>对</w:t>
      </w:r>
      <w:r>
        <w:rPr>
          <w:rFonts w:eastAsia="仿宋_GB2312"/>
          <w:kern w:val="0"/>
          <w:sz w:val="32"/>
          <w:szCs w:val="32"/>
        </w:rPr>
        <w:t>生态保护红线作相应调整。</w:t>
      </w:r>
    </w:p>
    <w:p w14:paraId="7F4D561F">
      <w:pPr>
        <w:spacing w:line="600" w:lineRule="exact"/>
        <w:ind w:firstLine="640" w:firstLineChars="200"/>
        <w:rPr>
          <w:rFonts w:eastAsia="仿宋_GB2312"/>
          <w:kern w:val="0"/>
          <w:sz w:val="32"/>
          <w:szCs w:val="32"/>
        </w:rPr>
      </w:pPr>
      <w:r>
        <w:rPr>
          <w:rFonts w:eastAsia="楷体_GB2312"/>
          <w:bCs/>
          <w:kern w:val="0"/>
          <w:sz w:val="32"/>
          <w:szCs w:val="32"/>
        </w:rPr>
        <w:t>强化其他生态空间管控。</w:t>
      </w:r>
      <w:r>
        <w:rPr>
          <w:rFonts w:eastAsia="仿宋_GB2312"/>
          <w:kern w:val="0"/>
          <w:sz w:val="32"/>
          <w:szCs w:val="32"/>
        </w:rPr>
        <w:t>对未划入生态保护红线内的具有重要生态价值的草地、林地、湿地、沙地等生态用地及具有潜在生态价值的</w:t>
      </w:r>
      <w:r>
        <w:rPr>
          <w:rFonts w:hint="eastAsia" w:eastAsia="仿宋_GB2312"/>
          <w:kern w:val="0"/>
          <w:sz w:val="32"/>
          <w:szCs w:val="32"/>
        </w:rPr>
        <w:t>区域</w:t>
      </w:r>
      <w:r>
        <w:rPr>
          <w:rFonts w:eastAsia="仿宋_GB2312"/>
          <w:kern w:val="0"/>
          <w:sz w:val="32"/>
          <w:szCs w:val="32"/>
        </w:rPr>
        <w:t>，在不降低生态功能、不破坏自然生态系统前提下</w:t>
      </w:r>
      <w:r>
        <w:rPr>
          <w:rFonts w:hint="eastAsia" w:eastAsia="仿宋_GB2312"/>
          <w:kern w:val="0"/>
          <w:sz w:val="32"/>
          <w:szCs w:val="32"/>
        </w:rPr>
        <w:t>按照国家要求</w:t>
      </w:r>
      <w:r>
        <w:rPr>
          <w:rFonts w:eastAsia="仿宋_GB2312"/>
          <w:kern w:val="0"/>
          <w:sz w:val="32"/>
          <w:szCs w:val="32"/>
        </w:rPr>
        <w:t>进行准入管控</w:t>
      </w:r>
      <w:r>
        <w:rPr>
          <w:rFonts w:hint="eastAsia" w:eastAsia="仿宋_GB2312"/>
          <w:kern w:val="0"/>
          <w:sz w:val="32"/>
          <w:szCs w:val="32"/>
        </w:rPr>
        <w:t>，</w:t>
      </w:r>
      <w:r>
        <w:rPr>
          <w:rFonts w:eastAsia="仿宋_GB2312"/>
          <w:kern w:val="0"/>
          <w:sz w:val="32"/>
          <w:szCs w:val="32"/>
        </w:rPr>
        <w:t>禁止与生态功能有冲突的开发建设。</w:t>
      </w:r>
    </w:p>
    <w:p w14:paraId="73D360AA">
      <w:pPr>
        <w:spacing w:after="156" w:afterLines="50" w:line="600" w:lineRule="exact"/>
        <w:ind w:firstLine="640" w:firstLineChars="200"/>
        <w:rPr>
          <w:rFonts w:eastAsia="仿宋_GB2312"/>
          <w:kern w:val="0"/>
          <w:sz w:val="32"/>
          <w:szCs w:val="32"/>
        </w:rPr>
      </w:pPr>
      <w:r>
        <w:rPr>
          <w:rFonts w:eastAsia="楷体_GB2312"/>
          <w:bCs/>
          <w:kern w:val="0"/>
          <w:sz w:val="32"/>
          <w:szCs w:val="32"/>
        </w:rPr>
        <w:t>加强农牧空间和城镇空间生态建设。</w:t>
      </w:r>
      <w:r>
        <w:rPr>
          <w:rFonts w:eastAsia="仿宋_GB2312"/>
          <w:kern w:val="0"/>
          <w:sz w:val="32"/>
          <w:szCs w:val="32"/>
        </w:rPr>
        <w:t>发挥农牧空间的生态功能，拓展农牧业多种功能，打造种养结合、布局合理、生态循环、环境优美的田园生态系统。盘活存量</w:t>
      </w:r>
      <w:r>
        <w:rPr>
          <w:rFonts w:hint="eastAsia" w:eastAsia="仿宋_GB2312"/>
          <w:kern w:val="0"/>
          <w:sz w:val="32"/>
          <w:szCs w:val="32"/>
        </w:rPr>
        <w:t>闲置土地和</w:t>
      </w:r>
      <w:r>
        <w:rPr>
          <w:rFonts w:eastAsia="仿宋_GB2312"/>
          <w:kern w:val="0"/>
          <w:sz w:val="32"/>
          <w:szCs w:val="32"/>
        </w:rPr>
        <w:t>低效用地，增加城镇空间绿化水平和村镇绿化力度，</w:t>
      </w:r>
      <w:r>
        <w:rPr>
          <w:rFonts w:hint="eastAsia" w:eastAsia="仿宋_GB2312"/>
          <w:kern w:val="0"/>
          <w:sz w:val="32"/>
          <w:szCs w:val="32"/>
        </w:rPr>
        <w:t>促进与生态空间融合</w:t>
      </w:r>
      <w:r>
        <w:rPr>
          <w:rFonts w:eastAsia="仿宋_GB2312"/>
          <w:kern w:val="0"/>
          <w:sz w:val="32"/>
          <w:szCs w:val="32"/>
        </w:rPr>
        <w:t>。</w:t>
      </w:r>
    </w:p>
    <w:p w14:paraId="75210372">
      <w:pPr>
        <w:pStyle w:val="3"/>
        <w:spacing w:before="156" w:beforeLines="50" w:after="156" w:afterLines="50" w:line="600" w:lineRule="exact"/>
        <w:rPr>
          <w:rFonts w:ascii="Times New Roman" w:hAnsi="Times New Roman"/>
          <w:b w:val="0"/>
          <w:bCs w:val="0"/>
        </w:rPr>
      </w:pPr>
      <w:bookmarkStart w:id="154" w:name="_Toc155861063"/>
      <w:bookmarkStart w:id="155" w:name="_Toc160715641"/>
      <w:r>
        <w:rPr>
          <w:rFonts w:ascii="Times New Roman" w:hAnsi="Times New Roman"/>
          <w:b w:val="0"/>
          <w:bCs w:val="0"/>
        </w:rPr>
        <w:t>第四节 建立完善生态</w:t>
      </w:r>
      <w:r>
        <w:rPr>
          <w:rFonts w:hint="eastAsia" w:ascii="Times New Roman" w:hAnsi="Times New Roman"/>
          <w:b w:val="0"/>
          <w:bCs w:val="0"/>
        </w:rPr>
        <w:t>保护</w:t>
      </w:r>
      <w:r>
        <w:rPr>
          <w:rFonts w:ascii="Times New Roman" w:hAnsi="Times New Roman"/>
          <w:b w:val="0"/>
          <w:bCs w:val="0"/>
        </w:rPr>
        <w:t>补偿机制</w:t>
      </w:r>
      <w:bookmarkEnd w:id="154"/>
      <w:bookmarkEnd w:id="155"/>
    </w:p>
    <w:p w14:paraId="50746F68">
      <w:pPr>
        <w:spacing w:line="600" w:lineRule="exact"/>
        <w:ind w:firstLine="640" w:firstLineChars="200"/>
        <w:rPr>
          <w:rFonts w:eastAsia="仿宋_GB2312"/>
          <w:kern w:val="0"/>
          <w:sz w:val="32"/>
          <w:szCs w:val="32"/>
        </w:rPr>
      </w:pPr>
      <w:r>
        <w:rPr>
          <w:rFonts w:eastAsia="楷体_GB2312"/>
          <w:bCs/>
          <w:kern w:val="0"/>
          <w:sz w:val="32"/>
          <w:szCs w:val="32"/>
        </w:rPr>
        <w:t>健全生态</w:t>
      </w:r>
      <w:r>
        <w:rPr>
          <w:rFonts w:hint="eastAsia" w:eastAsia="楷体_GB2312"/>
          <w:bCs/>
          <w:kern w:val="0"/>
          <w:sz w:val="32"/>
          <w:szCs w:val="32"/>
        </w:rPr>
        <w:t>保护</w:t>
      </w:r>
      <w:r>
        <w:rPr>
          <w:rFonts w:eastAsia="楷体_GB2312"/>
          <w:bCs/>
          <w:kern w:val="0"/>
          <w:sz w:val="32"/>
          <w:szCs w:val="32"/>
        </w:rPr>
        <w:t>补偿机制。</w:t>
      </w:r>
      <w:r>
        <w:rPr>
          <w:rFonts w:eastAsia="仿宋_GB2312"/>
          <w:kern w:val="0"/>
          <w:sz w:val="32"/>
          <w:szCs w:val="32"/>
        </w:rPr>
        <w:t>探索建立跨地区、跨流域、覆盖重点领域和重点区域的多元化全要素生态</w:t>
      </w:r>
      <w:r>
        <w:rPr>
          <w:rFonts w:hint="eastAsia" w:eastAsia="仿宋_GB2312"/>
          <w:kern w:val="0"/>
          <w:sz w:val="32"/>
          <w:szCs w:val="32"/>
        </w:rPr>
        <w:t>保护</w:t>
      </w:r>
      <w:r>
        <w:rPr>
          <w:rFonts w:eastAsia="仿宋_GB2312"/>
          <w:kern w:val="0"/>
          <w:sz w:val="32"/>
          <w:szCs w:val="32"/>
        </w:rPr>
        <w:t>补偿机制，推动</w:t>
      </w:r>
      <w:r>
        <w:rPr>
          <w:rFonts w:hint="eastAsia" w:eastAsia="仿宋_GB2312"/>
          <w:kern w:val="0"/>
          <w:sz w:val="32"/>
          <w:szCs w:val="32"/>
        </w:rPr>
        <w:t>“</w:t>
      </w:r>
      <w:r>
        <w:rPr>
          <w:rFonts w:eastAsia="仿宋_GB2312"/>
          <w:kern w:val="0"/>
          <w:sz w:val="32"/>
          <w:szCs w:val="32"/>
        </w:rPr>
        <w:t>绿水青山就是金山银山</w:t>
      </w:r>
      <w:r>
        <w:rPr>
          <w:rFonts w:hint="eastAsia" w:eastAsia="仿宋_GB2312"/>
          <w:kern w:val="0"/>
          <w:sz w:val="32"/>
          <w:szCs w:val="32"/>
        </w:rPr>
        <w:t>”</w:t>
      </w:r>
      <w:r>
        <w:rPr>
          <w:rFonts w:eastAsia="仿宋_GB2312"/>
          <w:kern w:val="0"/>
          <w:sz w:val="32"/>
          <w:szCs w:val="32"/>
        </w:rPr>
        <w:t>全面落实。采取奖补结合方式，建立横向生态保护补偿机制，探索开发地区对保护地区</w:t>
      </w:r>
      <w:r>
        <w:rPr>
          <w:rFonts w:hint="eastAsia" w:eastAsia="仿宋_GB2312"/>
          <w:kern w:val="0"/>
          <w:sz w:val="32"/>
          <w:szCs w:val="32"/>
        </w:rPr>
        <w:t>，</w:t>
      </w:r>
      <w:r>
        <w:rPr>
          <w:rFonts w:eastAsia="仿宋_GB2312"/>
          <w:kern w:val="0"/>
          <w:sz w:val="32"/>
          <w:szCs w:val="32"/>
        </w:rPr>
        <w:t>生态受益区对生态保护区</w:t>
      </w:r>
      <w:r>
        <w:rPr>
          <w:rFonts w:hint="eastAsia" w:eastAsia="仿宋_GB2312"/>
          <w:kern w:val="0"/>
          <w:sz w:val="32"/>
          <w:szCs w:val="32"/>
        </w:rPr>
        <w:t>以</w:t>
      </w:r>
      <w:r>
        <w:rPr>
          <w:rFonts w:eastAsia="仿宋_GB2312"/>
          <w:kern w:val="0"/>
          <w:sz w:val="32"/>
          <w:szCs w:val="32"/>
        </w:rPr>
        <w:t>资金补助、技术扶持等多种</w:t>
      </w:r>
      <w:r>
        <w:rPr>
          <w:rFonts w:hint="eastAsia" w:eastAsia="仿宋_GB2312"/>
          <w:kern w:val="0"/>
          <w:sz w:val="32"/>
          <w:szCs w:val="32"/>
        </w:rPr>
        <w:t>方式</w:t>
      </w:r>
      <w:r>
        <w:rPr>
          <w:rFonts w:eastAsia="仿宋_GB2312"/>
          <w:kern w:val="0"/>
          <w:sz w:val="32"/>
          <w:szCs w:val="32"/>
        </w:rPr>
        <w:t>，多渠道增加生态建设投入。深入推进落实新一轮草原生态保护补助奖励政策，建立覆盖全部自然生态空间的全要素生态</w:t>
      </w:r>
      <w:r>
        <w:rPr>
          <w:rFonts w:hint="eastAsia" w:eastAsia="仿宋_GB2312"/>
          <w:kern w:val="0"/>
          <w:sz w:val="32"/>
          <w:szCs w:val="32"/>
        </w:rPr>
        <w:t>保护</w:t>
      </w:r>
      <w:r>
        <w:rPr>
          <w:rFonts w:eastAsia="仿宋_GB2312"/>
          <w:kern w:val="0"/>
          <w:sz w:val="32"/>
          <w:szCs w:val="32"/>
        </w:rPr>
        <w:t>补偿机制。选择自然资源丰富、生态环境良好的盟市建立生态</w:t>
      </w:r>
      <w:r>
        <w:rPr>
          <w:rFonts w:hint="eastAsia" w:eastAsia="仿宋_GB2312"/>
          <w:kern w:val="0"/>
          <w:sz w:val="32"/>
          <w:szCs w:val="32"/>
        </w:rPr>
        <w:t>保护</w:t>
      </w:r>
      <w:r>
        <w:rPr>
          <w:rFonts w:eastAsia="仿宋_GB2312"/>
          <w:kern w:val="0"/>
          <w:sz w:val="32"/>
          <w:szCs w:val="32"/>
        </w:rPr>
        <w:t>补偿试点。</w:t>
      </w:r>
    </w:p>
    <w:p w14:paraId="70DFB185">
      <w:pPr>
        <w:spacing w:line="600" w:lineRule="exact"/>
        <w:ind w:firstLine="640" w:firstLineChars="200"/>
        <w:rPr>
          <w:rFonts w:eastAsia="仿宋_GB2312"/>
          <w:kern w:val="0"/>
          <w:sz w:val="32"/>
          <w:szCs w:val="32"/>
        </w:rPr>
      </w:pPr>
      <w:r>
        <w:rPr>
          <w:rFonts w:eastAsia="楷体_GB2312"/>
          <w:bCs/>
          <w:kern w:val="0"/>
          <w:sz w:val="32"/>
          <w:szCs w:val="32"/>
        </w:rPr>
        <w:t>推动生态产品价值实现。</w:t>
      </w:r>
      <w:r>
        <w:rPr>
          <w:rFonts w:eastAsia="仿宋_GB2312"/>
          <w:kern w:val="0"/>
          <w:sz w:val="32"/>
          <w:szCs w:val="32"/>
        </w:rPr>
        <w:t>查清内蒙古</w:t>
      </w:r>
      <w:r>
        <w:rPr>
          <w:rFonts w:hint="eastAsia" w:eastAsia="仿宋_GB2312"/>
          <w:kern w:val="0"/>
          <w:sz w:val="32"/>
          <w:szCs w:val="32"/>
        </w:rPr>
        <w:t>自治区</w:t>
      </w:r>
      <w:r>
        <w:rPr>
          <w:rFonts w:eastAsia="仿宋_GB2312"/>
          <w:kern w:val="0"/>
          <w:sz w:val="32"/>
          <w:szCs w:val="32"/>
        </w:rPr>
        <w:t>生态资产和生态本底，厘清生态产品结构与功能，开展生态产品价值核算，全面评估生态产品总值（GEP）</w:t>
      </w:r>
      <w:r>
        <w:rPr>
          <w:rFonts w:hint="eastAsia" w:eastAsia="仿宋_GB2312"/>
          <w:kern w:val="0"/>
          <w:sz w:val="32"/>
          <w:szCs w:val="32"/>
        </w:rPr>
        <w:t>，建立健全生态产品价值实现机制，拓展生态产品价值实现路径，构建生态产品市场交易体系，进一步打通“绿水青山”与“金山银山”双向转化通道及实现路径。</w:t>
      </w:r>
      <w:bookmarkEnd w:id="131"/>
      <w:bookmarkEnd w:id="132"/>
      <w:bookmarkStart w:id="156" w:name="_Toc41137908"/>
      <w:bookmarkStart w:id="157" w:name="_Toc28162751"/>
      <w:bookmarkStart w:id="158" w:name="_Toc43113677"/>
      <w:bookmarkStart w:id="159" w:name="_Toc58510773"/>
      <w:bookmarkStart w:id="160" w:name="_Toc56842402"/>
    </w:p>
    <w:p w14:paraId="27EEFFA4">
      <w:pPr>
        <w:spacing w:after="312" w:afterLines="100" w:line="600" w:lineRule="exact"/>
        <w:jc w:val="left"/>
        <w:rPr>
          <w:rFonts w:eastAsia="仿宋_GB2312"/>
          <w:kern w:val="0"/>
          <w:sz w:val="30"/>
          <w:szCs w:val="32"/>
        </w:rPr>
        <w:sectPr>
          <w:headerReference r:id="rId8" w:type="first"/>
          <w:headerReference r:id="rId6" w:type="default"/>
          <w:footerReference r:id="rId9" w:type="default"/>
          <w:headerReference r:id="rId7" w:type="even"/>
          <w:pgSz w:w="11906" w:h="16838"/>
          <w:pgMar w:top="1701" w:right="1701" w:bottom="1701" w:left="1701" w:header="851" w:footer="992" w:gutter="0"/>
          <w:pgNumType w:start="1"/>
          <w:cols w:space="720" w:num="1"/>
          <w:docGrid w:type="lines" w:linePitch="312" w:charSpace="0"/>
        </w:sectPr>
      </w:pPr>
    </w:p>
    <w:p w14:paraId="31086403">
      <w:pPr>
        <w:spacing w:after="312" w:afterLines="100"/>
        <w:jc w:val="center"/>
        <w:outlineLvl w:val="0"/>
        <w:rPr>
          <w:rFonts w:hint="eastAsia" w:ascii="方正小标宋简体" w:eastAsia="方正小标宋简体"/>
          <w:sz w:val="36"/>
          <w:szCs w:val="32"/>
        </w:rPr>
      </w:pPr>
      <w:bookmarkStart w:id="161" w:name="_Toc160715642"/>
      <w:bookmarkStart w:id="162" w:name="_Toc155861064"/>
      <w:r>
        <w:rPr>
          <w:rFonts w:hint="eastAsia" w:ascii="方正小标宋简体" w:eastAsia="方正小标宋简体"/>
          <w:sz w:val="36"/>
          <w:szCs w:val="32"/>
        </w:rPr>
        <w:t xml:space="preserve">第六章 </w:t>
      </w:r>
      <w:bookmarkEnd w:id="156"/>
      <w:bookmarkEnd w:id="157"/>
      <w:bookmarkEnd w:id="158"/>
      <w:r>
        <w:rPr>
          <w:rFonts w:hint="eastAsia" w:ascii="方正小标宋简体" w:eastAsia="方正小标宋简体"/>
          <w:sz w:val="36"/>
          <w:szCs w:val="32"/>
        </w:rPr>
        <w:t>塑造多元宜居城镇空间</w:t>
      </w:r>
      <w:bookmarkEnd w:id="159"/>
      <w:bookmarkEnd w:id="161"/>
      <w:bookmarkEnd w:id="162"/>
    </w:p>
    <w:p w14:paraId="1AD5A2DA">
      <w:pPr>
        <w:spacing w:line="560" w:lineRule="exact"/>
        <w:ind w:firstLine="640" w:firstLineChars="200"/>
        <w:rPr>
          <w:rFonts w:eastAsia="仿宋_GB2312"/>
          <w:kern w:val="0"/>
          <w:sz w:val="32"/>
          <w:szCs w:val="32"/>
        </w:rPr>
      </w:pPr>
      <w:r>
        <w:rPr>
          <w:rFonts w:eastAsia="仿宋_GB2312"/>
          <w:kern w:val="0"/>
          <w:sz w:val="32"/>
          <w:szCs w:val="32"/>
        </w:rPr>
        <w:t>坚持集中集聚集约发展，立足地广人稀、生产要素分散实际，顺应城镇化、工业化、信息化发展态势和需求，优化城镇生产、生活、生态空间布局和资源要素配置，引导人口和产业集聚，促进国土空间集聚开发与均衡发展，打造以人为核心的新型城镇化格局，塑造多元宜居的城镇空间。</w:t>
      </w:r>
    </w:p>
    <w:p w14:paraId="0ADA2A07">
      <w:pPr>
        <w:pStyle w:val="3"/>
        <w:spacing w:before="156" w:beforeLines="50" w:after="156" w:afterLines="50" w:line="560" w:lineRule="exact"/>
        <w:rPr>
          <w:rFonts w:ascii="Times New Roman" w:hAnsi="Times New Roman"/>
          <w:b w:val="0"/>
          <w:bCs w:val="0"/>
        </w:rPr>
      </w:pPr>
      <w:bookmarkStart w:id="163" w:name="_Toc43113679"/>
      <w:bookmarkStart w:id="164" w:name="_Toc58510774"/>
      <w:bookmarkStart w:id="165" w:name="_Toc41137910"/>
      <w:bookmarkStart w:id="166" w:name="_Toc28162753"/>
      <w:bookmarkStart w:id="167" w:name="_Toc160715643"/>
      <w:bookmarkStart w:id="168" w:name="_Toc155861065"/>
      <w:r>
        <w:rPr>
          <w:rFonts w:ascii="Times New Roman" w:hAnsi="Times New Roman"/>
          <w:b w:val="0"/>
          <w:bCs w:val="0"/>
        </w:rPr>
        <w:t>第一节 优化城镇体系和空间格局</w:t>
      </w:r>
      <w:bookmarkEnd w:id="163"/>
      <w:bookmarkEnd w:id="164"/>
      <w:bookmarkEnd w:id="165"/>
      <w:bookmarkEnd w:id="166"/>
      <w:bookmarkEnd w:id="167"/>
      <w:bookmarkEnd w:id="168"/>
    </w:p>
    <w:p w14:paraId="688D1230">
      <w:pPr>
        <w:spacing w:after="62" w:afterLines="20" w:line="560" w:lineRule="exact"/>
        <w:ind w:firstLine="640" w:firstLineChars="200"/>
        <w:rPr>
          <w:rFonts w:eastAsia="仿宋_GB2312"/>
          <w:kern w:val="0"/>
          <w:sz w:val="32"/>
          <w:szCs w:val="32"/>
        </w:rPr>
      </w:pPr>
      <w:r>
        <w:rPr>
          <w:rFonts w:eastAsia="楷体_GB2312"/>
          <w:bCs/>
          <w:kern w:val="0"/>
          <w:sz w:val="32"/>
          <w:szCs w:val="32"/>
        </w:rPr>
        <w:t>强化呼包鄂乌一体化发展区域引领带动作用。</w:t>
      </w:r>
      <w:r>
        <w:rPr>
          <w:rFonts w:eastAsia="仿宋_GB2312"/>
          <w:kern w:val="0"/>
          <w:sz w:val="32"/>
          <w:szCs w:val="32"/>
        </w:rPr>
        <w:t>落实国家呼包鄂榆城市群战略，推动黄河流域生态保护和高质量发展，加快</w:t>
      </w:r>
      <w:r>
        <w:rPr>
          <w:rFonts w:eastAsia="仿宋_GB2312"/>
          <w:sz w:val="32"/>
          <w:szCs w:val="32"/>
        </w:rPr>
        <w:t>呼包鄂乌一体化发展区域</w:t>
      </w:r>
      <w:r>
        <w:rPr>
          <w:rFonts w:eastAsia="仿宋_GB2312"/>
          <w:kern w:val="0"/>
          <w:sz w:val="32"/>
          <w:szCs w:val="32"/>
        </w:rPr>
        <w:t>建设。到2035年，常住人口总规模达到1100</w:t>
      </w:r>
      <w:r>
        <w:rPr>
          <w:rFonts w:hint="eastAsia" w:eastAsia="仿宋_GB2312"/>
          <w:kern w:val="0"/>
          <w:sz w:val="32"/>
          <w:szCs w:val="32"/>
        </w:rPr>
        <w:t>-</w:t>
      </w:r>
      <w:r>
        <w:rPr>
          <w:rFonts w:eastAsia="仿宋_GB2312"/>
          <w:kern w:val="0"/>
          <w:sz w:val="32"/>
          <w:szCs w:val="32"/>
        </w:rPr>
        <w:t>1150万人，城镇化率达到80%</w:t>
      </w:r>
      <w:r>
        <w:rPr>
          <w:rFonts w:hint="eastAsia" w:eastAsia="仿宋_GB2312"/>
          <w:kern w:val="0"/>
          <w:sz w:val="32"/>
          <w:szCs w:val="32"/>
        </w:rPr>
        <w:t>-</w:t>
      </w:r>
      <w:r>
        <w:rPr>
          <w:rFonts w:eastAsia="仿宋_GB2312"/>
          <w:kern w:val="0"/>
          <w:sz w:val="32"/>
          <w:szCs w:val="32"/>
        </w:rPr>
        <w:t>85%，形成1个I型大城市（呼和浩特</w:t>
      </w:r>
      <w:r>
        <w:rPr>
          <w:rFonts w:hint="eastAsia" w:eastAsia="仿宋_GB2312"/>
          <w:kern w:val="0"/>
          <w:sz w:val="32"/>
          <w:szCs w:val="32"/>
        </w:rPr>
        <w:t>市</w:t>
      </w:r>
      <w:r>
        <w:rPr>
          <w:rFonts w:eastAsia="仿宋_GB2312"/>
          <w:kern w:val="0"/>
          <w:sz w:val="32"/>
          <w:szCs w:val="32"/>
        </w:rPr>
        <w:t>）、2个</w:t>
      </w:r>
      <w:r>
        <w:rPr>
          <w:rFonts w:hAnsi="仿宋_GB2312" w:eastAsia="仿宋_GB2312"/>
          <w:kern w:val="0"/>
          <w:sz w:val="32"/>
          <w:szCs w:val="32"/>
        </w:rPr>
        <w:t>Ⅱ</w:t>
      </w:r>
      <w:r>
        <w:rPr>
          <w:rFonts w:eastAsia="仿宋_GB2312"/>
          <w:kern w:val="0"/>
          <w:sz w:val="32"/>
          <w:szCs w:val="32"/>
        </w:rPr>
        <w:t>型大城市（包头</w:t>
      </w:r>
      <w:r>
        <w:rPr>
          <w:rFonts w:hint="eastAsia" w:eastAsia="仿宋_GB2312"/>
          <w:kern w:val="0"/>
          <w:sz w:val="32"/>
          <w:szCs w:val="32"/>
        </w:rPr>
        <w:t>市</w:t>
      </w:r>
      <w:r>
        <w:rPr>
          <w:rFonts w:eastAsia="仿宋_GB2312"/>
          <w:kern w:val="0"/>
          <w:sz w:val="32"/>
          <w:szCs w:val="32"/>
        </w:rPr>
        <w:t>、鄂尔多斯</w:t>
      </w:r>
      <w:r>
        <w:rPr>
          <w:rFonts w:hint="eastAsia" w:eastAsia="仿宋_GB2312"/>
          <w:kern w:val="0"/>
          <w:sz w:val="32"/>
          <w:szCs w:val="32"/>
        </w:rPr>
        <w:t>市</w:t>
      </w:r>
      <w:r>
        <w:rPr>
          <w:rFonts w:eastAsia="仿宋_GB2312"/>
          <w:kern w:val="0"/>
          <w:sz w:val="32"/>
          <w:szCs w:val="32"/>
        </w:rPr>
        <w:t>）、1个中等城市（乌兰察布</w:t>
      </w:r>
      <w:r>
        <w:rPr>
          <w:rFonts w:hint="eastAsia" w:eastAsia="仿宋_GB2312"/>
          <w:kern w:val="0"/>
          <w:sz w:val="32"/>
          <w:szCs w:val="32"/>
        </w:rPr>
        <w:t>市</w:t>
      </w:r>
      <w:r>
        <w:rPr>
          <w:rFonts w:eastAsia="仿宋_GB2312"/>
          <w:kern w:val="0"/>
          <w:sz w:val="32"/>
          <w:szCs w:val="32"/>
        </w:rPr>
        <w:t>）、1个</w:t>
      </w:r>
      <w:r>
        <w:rPr>
          <w:rFonts w:hAnsi="仿宋_GB2312" w:eastAsia="仿宋_GB2312"/>
          <w:kern w:val="0"/>
          <w:sz w:val="32"/>
          <w:szCs w:val="32"/>
        </w:rPr>
        <w:t>Ⅱ</w:t>
      </w:r>
      <w:r>
        <w:rPr>
          <w:rFonts w:eastAsia="仿宋_GB2312"/>
          <w:kern w:val="0"/>
          <w:sz w:val="32"/>
          <w:szCs w:val="32"/>
        </w:rPr>
        <w:t>型小城市（丰镇</w:t>
      </w:r>
      <w:r>
        <w:rPr>
          <w:rFonts w:hint="eastAsia" w:eastAsia="仿宋_GB2312"/>
          <w:kern w:val="0"/>
          <w:sz w:val="32"/>
          <w:szCs w:val="32"/>
        </w:rPr>
        <w:t>市</w:t>
      </w:r>
      <w:r>
        <w:rPr>
          <w:rFonts w:eastAsia="仿宋_GB2312"/>
          <w:kern w:val="0"/>
          <w:sz w:val="32"/>
          <w:szCs w:val="32"/>
        </w:rPr>
        <w:t>）和26个小城镇组成的核心城市群，成为生态转移人口与城镇化的主要承载地。着力建设西北地区生态文明</w:t>
      </w:r>
      <w:r>
        <w:rPr>
          <w:rFonts w:hint="eastAsia" w:eastAsia="仿宋_GB2312"/>
          <w:kern w:val="0"/>
          <w:sz w:val="32"/>
          <w:szCs w:val="32"/>
        </w:rPr>
        <w:t>合作</w:t>
      </w:r>
      <w:r>
        <w:rPr>
          <w:rFonts w:eastAsia="仿宋_GB2312"/>
          <w:kern w:val="0"/>
          <w:sz w:val="32"/>
          <w:szCs w:val="32"/>
        </w:rPr>
        <w:t>共建区</w:t>
      </w:r>
      <w:r>
        <w:rPr>
          <w:rFonts w:hint="eastAsia" w:eastAsia="仿宋_GB2312"/>
          <w:kern w:val="0"/>
          <w:sz w:val="32"/>
          <w:szCs w:val="32"/>
        </w:rPr>
        <w:t>、</w:t>
      </w:r>
      <w:r>
        <w:rPr>
          <w:rFonts w:eastAsia="仿宋_GB2312"/>
          <w:kern w:val="0"/>
          <w:sz w:val="32"/>
          <w:szCs w:val="32"/>
        </w:rPr>
        <w:t>向北向西开放战略支点、民族地区</w:t>
      </w:r>
      <w:r>
        <w:rPr>
          <w:rFonts w:hint="eastAsia" w:eastAsia="仿宋_GB2312"/>
          <w:kern w:val="0"/>
          <w:sz w:val="32"/>
          <w:szCs w:val="32"/>
        </w:rPr>
        <w:t>城乡融合发展先行</w:t>
      </w:r>
      <w:r>
        <w:rPr>
          <w:rFonts w:eastAsia="仿宋_GB2312"/>
          <w:kern w:val="0"/>
          <w:sz w:val="32"/>
          <w:szCs w:val="32"/>
        </w:rPr>
        <w:t>区，建成外接俄蒙</w:t>
      </w:r>
      <w:r>
        <w:rPr>
          <w:rFonts w:hint="eastAsia" w:eastAsia="仿宋_GB2312"/>
          <w:kern w:val="0"/>
          <w:sz w:val="32"/>
          <w:szCs w:val="32"/>
        </w:rPr>
        <w:t>，</w:t>
      </w:r>
      <w:r>
        <w:rPr>
          <w:rFonts w:eastAsia="仿宋_GB2312"/>
          <w:kern w:val="0"/>
          <w:sz w:val="32"/>
          <w:szCs w:val="32"/>
        </w:rPr>
        <w:t>服务全国</w:t>
      </w:r>
      <w:r>
        <w:rPr>
          <w:rFonts w:hint="eastAsia" w:eastAsia="仿宋_GB2312"/>
          <w:kern w:val="0"/>
          <w:sz w:val="32"/>
          <w:szCs w:val="32"/>
        </w:rPr>
        <w:t>，</w:t>
      </w:r>
      <w:r>
        <w:rPr>
          <w:rFonts w:eastAsia="仿宋_GB2312"/>
          <w:kern w:val="0"/>
          <w:sz w:val="32"/>
          <w:szCs w:val="32"/>
        </w:rPr>
        <w:t>面向</w:t>
      </w:r>
      <w:r>
        <w:rPr>
          <w:rFonts w:hint="eastAsia" w:eastAsia="仿宋_GB2312"/>
          <w:kern w:val="0"/>
          <w:sz w:val="32"/>
          <w:szCs w:val="32"/>
        </w:rPr>
        <w:t>华北、东北、西北</w:t>
      </w:r>
      <w:r>
        <w:rPr>
          <w:rFonts w:eastAsia="仿宋_GB2312"/>
          <w:kern w:val="0"/>
          <w:sz w:val="32"/>
          <w:szCs w:val="32"/>
        </w:rPr>
        <w:t>，以绿色发展为导向的重要城市群。</w:t>
      </w:r>
    </w:p>
    <w:p w14:paraId="648EEFF1">
      <w:pPr>
        <w:spacing w:line="600" w:lineRule="exact"/>
        <w:ind w:firstLine="640" w:firstLineChars="200"/>
        <w:rPr>
          <w:rFonts w:eastAsia="仿宋_GB2312"/>
          <w:kern w:val="0"/>
          <w:sz w:val="32"/>
          <w:szCs w:val="32"/>
        </w:rPr>
      </w:pPr>
      <w:r>
        <w:rPr>
          <w:rFonts w:eastAsia="楷体_GB2312"/>
          <w:bCs/>
          <w:kern w:val="0"/>
          <w:sz w:val="32"/>
          <w:szCs w:val="32"/>
        </w:rPr>
        <w:t>建设呼和浩特创新型首府城市。</w:t>
      </w:r>
      <w:r>
        <w:rPr>
          <w:rFonts w:eastAsia="仿宋_GB2312"/>
          <w:kern w:val="0"/>
          <w:sz w:val="32"/>
          <w:szCs w:val="32"/>
        </w:rPr>
        <w:t>发挥呼和浩特</w:t>
      </w:r>
      <w:r>
        <w:rPr>
          <w:rFonts w:hint="eastAsia" w:eastAsia="仿宋_GB2312"/>
          <w:kern w:val="0"/>
          <w:sz w:val="32"/>
          <w:szCs w:val="32"/>
        </w:rPr>
        <w:t>市</w:t>
      </w:r>
      <w:r>
        <w:rPr>
          <w:rFonts w:eastAsia="仿宋_GB2312"/>
          <w:kern w:val="0"/>
          <w:sz w:val="32"/>
          <w:szCs w:val="32"/>
        </w:rPr>
        <w:t>辐射带动作用，围绕打造美丽青城、草原都市，深度融入京津冀</w:t>
      </w:r>
      <w:r>
        <w:rPr>
          <w:rFonts w:hint="eastAsia" w:eastAsia="仿宋_GB2312"/>
          <w:kern w:val="0"/>
          <w:sz w:val="32"/>
          <w:szCs w:val="32"/>
        </w:rPr>
        <w:t>2</w:t>
      </w:r>
      <w:r>
        <w:rPr>
          <w:rFonts w:eastAsia="仿宋_GB2312"/>
          <w:kern w:val="0"/>
          <w:sz w:val="32"/>
          <w:szCs w:val="32"/>
        </w:rPr>
        <w:t>小时经济圈，引领呼包鄂乌1小时经济圈。推进建设乳业、光伏材料、草种业、动物繁育、生物制药、</w:t>
      </w:r>
      <w:r>
        <w:rPr>
          <w:rFonts w:hint="eastAsia" w:eastAsia="仿宋_GB2312"/>
          <w:kern w:val="0"/>
          <w:sz w:val="32"/>
          <w:szCs w:val="32"/>
        </w:rPr>
        <w:t>生物</w:t>
      </w:r>
      <w:r>
        <w:rPr>
          <w:rFonts w:eastAsia="仿宋_GB2312"/>
          <w:kern w:val="0"/>
          <w:sz w:val="32"/>
          <w:szCs w:val="32"/>
        </w:rPr>
        <w:t>疫苗等自治区级重点实验室以及工程（技术）中心，打造区域性科技创新中心。支持重点发展金融、商务、物流、会展、信息、旅游等现代服务业，培育壮大文化产业，打造区域性生活消费中心和休闲度假中心。加快建设物流枢纽承载城市，打造区域性交通物流中心。做强做大乳制品产业，建设绿色农畜产品加工基地，打造高质量发展新引擎。</w:t>
      </w:r>
    </w:p>
    <w:p w14:paraId="39114A49">
      <w:pPr>
        <w:spacing w:after="156" w:afterLines="50" w:line="600" w:lineRule="exact"/>
        <w:ind w:firstLine="640" w:firstLineChars="200"/>
        <w:rPr>
          <w:rFonts w:eastAsia="仿宋_GB2312"/>
          <w:kern w:val="0"/>
          <w:sz w:val="32"/>
          <w:szCs w:val="32"/>
        </w:rPr>
      </w:pPr>
      <w:r>
        <w:rPr>
          <w:rFonts w:eastAsia="楷体_GB2312"/>
          <w:bCs/>
          <w:kern w:val="0"/>
          <w:sz w:val="32"/>
          <w:szCs w:val="32"/>
        </w:rPr>
        <w:t>建设赤通</w:t>
      </w:r>
      <w:r>
        <w:rPr>
          <w:rFonts w:hint="eastAsia" w:eastAsia="楷体_GB2312"/>
          <w:bCs/>
          <w:kern w:val="0"/>
          <w:sz w:val="32"/>
          <w:szCs w:val="32"/>
        </w:rPr>
        <w:t>“</w:t>
      </w:r>
      <w:r>
        <w:rPr>
          <w:rFonts w:eastAsia="楷体_GB2312"/>
          <w:bCs/>
          <w:kern w:val="0"/>
          <w:sz w:val="32"/>
          <w:szCs w:val="32"/>
        </w:rPr>
        <w:t>双子星</w:t>
      </w:r>
      <w:r>
        <w:rPr>
          <w:rFonts w:hint="eastAsia" w:eastAsia="楷体_GB2312"/>
          <w:bCs/>
          <w:kern w:val="0"/>
          <w:sz w:val="32"/>
          <w:szCs w:val="32"/>
        </w:rPr>
        <w:t>”</w:t>
      </w:r>
      <w:r>
        <w:rPr>
          <w:rFonts w:eastAsia="楷体_GB2312"/>
          <w:bCs/>
          <w:kern w:val="0"/>
          <w:sz w:val="32"/>
          <w:szCs w:val="32"/>
        </w:rPr>
        <w:t>区域中心城市。</w:t>
      </w:r>
      <w:r>
        <w:rPr>
          <w:rFonts w:eastAsia="仿宋_GB2312"/>
          <w:kern w:val="0"/>
          <w:sz w:val="32"/>
          <w:szCs w:val="32"/>
        </w:rPr>
        <w:t>推动</w:t>
      </w:r>
      <w:r>
        <w:rPr>
          <w:rFonts w:hint="eastAsia" w:eastAsia="仿宋_GB2312"/>
          <w:kern w:val="0"/>
          <w:sz w:val="32"/>
          <w:szCs w:val="32"/>
        </w:rPr>
        <w:t>内蒙古自治区</w:t>
      </w:r>
      <w:r>
        <w:rPr>
          <w:rFonts w:eastAsia="仿宋_GB2312"/>
          <w:kern w:val="0"/>
          <w:sz w:val="32"/>
          <w:szCs w:val="32"/>
        </w:rPr>
        <w:t>东部地区城市间要素有效集聚和交流，融入环渤海和东北经济区的城镇联动互促格局，将</w:t>
      </w:r>
      <w:r>
        <w:rPr>
          <w:rFonts w:hint="eastAsia" w:eastAsia="仿宋_GB2312"/>
          <w:kern w:val="0"/>
          <w:sz w:val="32"/>
          <w:szCs w:val="32"/>
        </w:rPr>
        <w:t>赤峰市、通辽市</w:t>
      </w:r>
      <w:r>
        <w:rPr>
          <w:rFonts w:eastAsia="仿宋_GB2312"/>
          <w:kern w:val="0"/>
          <w:sz w:val="32"/>
          <w:szCs w:val="32"/>
        </w:rPr>
        <w:t>打造成为带动东部地区高质量发展的区域性中心城市。到2035年，常住人口总规模达到750</w:t>
      </w:r>
      <w:r>
        <w:rPr>
          <w:rFonts w:hint="eastAsia" w:eastAsia="仿宋_GB2312"/>
          <w:kern w:val="0"/>
          <w:sz w:val="32"/>
          <w:szCs w:val="32"/>
        </w:rPr>
        <w:t>-</w:t>
      </w:r>
      <w:r>
        <w:rPr>
          <w:rFonts w:eastAsia="仿宋_GB2312"/>
          <w:kern w:val="0"/>
          <w:sz w:val="32"/>
          <w:szCs w:val="32"/>
        </w:rPr>
        <w:t>780万人，城镇化率达到55%</w:t>
      </w:r>
      <w:r>
        <w:rPr>
          <w:rFonts w:hint="eastAsia" w:eastAsia="仿宋_GB2312"/>
          <w:kern w:val="0"/>
          <w:sz w:val="32"/>
          <w:szCs w:val="32"/>
        </w:rPr>
        <w:t>-</w:t>
      </w:r>
      <w:r>
        <w:rPr>
          <w:rFonts w:eastAsia="仿宋_GB2312"/>
          <w:kern w:val="0"/>
          <w:sz w:val="32"/>
          <w:szCs w:val="32"/>
        </w:rPr>
        <w:t>57%，形成以1个</w:t>
      </w:r>
      <w:r>
        <w:rPr>
          <w:rFonts w:hAnsi="仿宋_GB2312" w:eastAsia="仿宋_GB2312"/>
          <w:kern w:val="0"/>
          <w:sz w:val="32"/>
          <w:szCs w:val="32"/>
        </w:rPr>
        <w:t>Ⅱ</w:t>
      </w:r>
      <w:r>
        <w:rPr>
          <w:rFonts w:eastAsia="仿宋_GB2312"/>
          <w:kern w:val="0"/>
          <w:sz w:val="32"/>
          <w:szCs w:val="32"/>
        </w:rPr>
        <w:t>型大城市（赤峰</w:t>
      </w:r>
      <w:r>
        <w:rPr>
          <w:rFonts w:hint="eastAsia" w:eastAsia="仿宋_GB2312"/>
          <w:kern w:val="0"/>
          <w:sz w:val="32"/>
          <w:szCs w:val="32"/>
        </w:rPr>
        <w:t>市</w:t>
      </w:r>
      <w:r>
        <w:rPr>
          <w:rFonts w:eastAsia="仿宋_GB2312"/>
          <w:kern w:val="0"/>
          <w:sz w:val="32"/>
          <w:szCs w:val="32"/>
        </w:rPr>
        <w:t>）、1个中等城市（通辽</w:t>
      </w:r>
      <w:r>
        <w:rPr>
          <w:rFonts w:hint="eastAsia" w:eastAsia="仿宋_GB2312"/>
          <w:kern w:val="0"/>
          <w:sz w:val="32"/>
          <w:szCs w:val="32"/>
        </w:rPr>
        <w:t>市</w:t>
      </w:r>
      <w:r>
        <w:rPr>
          <w:rFonts w:eastAsia="仿宋_GB2312"/>
          <w:kern w:val="0"/>
          <w:sz w:val="32"/>
          <w:szCs w:val="32"/>
        </w:rPr>
        <w:t>）为中心、1个</w:t>
      </w:r>
      <w:r>
        <w:rPr>
          <w:rFonts w:hAnsi="仿宋_GB2312" w:eastAsia="仿宋_GB2312"/>
          <w:kern w:val="0"/>
          <w:sz w:val="32"/>
          <w:szCs w:val="32"/>
        </w:rPr>
        <w:t>Ⅱ</w:t>
      </w:r>
      <w:r>
        <w:rPr>
          <w:rFonts w:eastAsia="仿宋_GB2312"/>
          <w:kern w:val="0"/>
          <w:sz w:val="32"/>
          <w:szCs w:val="32"/>
        </w:rPr>
        <w:t>型小城市（霍林郭勒</w:t>
      </w:r>
      <w:r>
        <w:rPr>
          <w:rFonts w:hint="eastAsia" w:eastAsia="仿宋_GB2312"/>
          <w:kern w:val="0"/>
          <w:sz w:val="32"/>
          <w:szCs w:val="32"/>
        </w:rPr>
        <w:t>市</w:t>
      </w:r>
      <w:r>
        <w:rPr>
          <w:rFonts w:eastAsia="仿宋_GB2312"/>
          <w:kern w:val="0"/>
          <w:sz w:val="32"/>
          <w:szCs w:val="32"/>
        </w:rPr>
        <w:t>）和15个小城镇多点支撑的</w:t>
      </w:r>
      <w:r>
        <w:rPr>
          <w:rFonts w:hint="eastAsia" w:eastAsia="仿宋_GB2312"/>
          <w:kern w:val="0"/>
          <w:sz w:val="32"/>
          <w:szCs w:val="32"/>
        </w:rPr>
        <w:t>“</w:t>
      </w:r>
      <w:r>
        <w:rPr>
          <w:rFonts w:eastAsia="仿宋_GB2312"/>
          <w:kern w:val="0"/>
          <w:sz w:val="32"/>
          <w:szCs w:val="32"/>
        </w:rPr>
        <w:t>双子星</w:t>
      </w:r>
      <w:r>
        <w:rPr>
          <w:rFonts w:hint="eastAsia" w:eastAsia="仿宋_GB2312"/>
          <w:kern w:val="0"/>
          <w:sz w:val="32"/>
          <w:szCs w:val="32"/>
        </w:rPr>
        <w:t>”</w:t>
      </w:r>
      <w:r>
        <w:rPr>
          <w:rFonts w:eastAsia="仿宋_GB2312"/>
          <w:kern w:val="0"/>
          <w:sz w:val="32"/>
          <w:szCs w:val="32"/>
        </w:rPr>
        <w:t>城市地区，是内蒙古</w:t>
      </w:r>
      <w:r>
        <w:rPr>
          <w:rFonts w:hint="eastAsia" w:eastAsia="仿宋_GB2312"/>
          <w:kern w:val="0"/>
          <w:sz w:val="32"/>
          <w:szCs w:val="32"/>
        </w:rPr>
        <w:t>自治区</w:t>
      </w:r>
      <w:r>
        <w:rPr>
          <w:rFonts w:eastAsia="仿宋_GB2312"/>
          <w:kern w:val="0"/>
          <w:sz w:val="32"/>
          <w:szCs w:val="32"/>
        </w:rPr>
        <w:t>东部承接人口转移集聚的重点地区。</w:t>
      </w:r>
      <w:r>
        <w:rPr>
          <w:rFonts w:hint="eastAsia" w:eastAsia="仿宋_GB2312"/>
          <w:kern w:val="0"/>
          <w:sz w:val="32"/>
          <w:szCs w:val="32"/>
        </w:rPr>
        <w:t>持续</w:t>
      </w:r>
      <w:r>
        <w:rPr>
          <w:rFonts w:eastAsia="仿宋_GB2312"/>
          <w:kern w:val="0"/>
          <w:sz w:val="32"/>
          <w:szCs w:val="32"/>
        </w:rPr>
        <w:t>优化资源要素配置，促进生态环境共建共保，基础设施互联互通，基本公共服务共建共享，引导</w:t>
      </w:r>
      <w:r>
        <w:rPr>
          <w:rFonts w:hint="eastAsia" w:eastAsia="仿宋_GB2312"/>
          <w:kern w:val="0"/>
          <w:sz w:val="32"/>
          <w:szCs w:val="32"/>
        </w:rPr>
        <w:t>赤峰市、通辽市</w:t>
      </w:r>
      <w:r>
        <w:rPr>
          <w:rFonts w:eastAsia="仿宋_GB2312"/>
          <w:kern w:val="0"/>
          <w:sz w:val="32"/>
          <w:szCs w:val="32"/>
        </w:rPr>
        <w:t>协同发展，共同打造中</w:t>
      </w:r>
      <w:r>
        <w:rPr>
          <w:rFonts w:hint="eastAsia" w:eastAsia="仿宋_GB2312"/>
          <w:kern w:val="0"/>
          <w:sz w:val="32"/>
          <w:szCs w:val="32"/>
        </w:rPr>
        <w:t>（</w:t>
      </w:r>
      <w:r>
        <w:rPr>
          <w:rFonts w:eastAsia="仿宋_GB2312"/>
          <w:kern w:val="0"/>
          <w:sz w:val="32"/>
          <w:szCs w:val="32"/>
        </w:rPr>
        <w:t>蒙</w:t>
      </w:r>
      <w:r>
        <w:rPr>
          <w:rFonts w:hint="eastAsia" w:eastAsia="仿宋_GB2312"/>
          <w:kern w:val="0"/>
          <w:sz w:val="32"/>
          <w:szCs w:val="32"/>
        </w:rPr>
        <w:t>）</w:t>
      </w:r>
      <w:r>
        <w:rPr>
          <w:rFonts w:eastAsia="仿宋_GB2312"/>
          <w:kern w:val="0"/>
          <w:sz w:val="32"/>
          <w:szCs w:val="32"/>
        </w:rPr>
        <w:t>医药产业集群、特色文化旅游中心、新能源和生物制药、绿色农畜产品生产加工基地。</w:t>
      </w:r>
    </w:p>
    <w:p w14:paraId="3B28AB78">
      <w:pPr>
        <w:spacing w:after="156" w:afterLines="50" w:line="600" w:lineRule="exact"/>
        <w:ind w:firstLine="640" w:firstLineChars="200"/>
        <w:rPr>
          <w:rFonts w:eastAsia="仿宋_GB2312"/>
          <w:kern w:val="0"/>
          <w:sz w:val="32"/>
          <w:szCs w:val="32"/>
        </w:rPr>
      </w:pPr>
      <w:bookmarkStart w:id="169" w:name="OLE_LINK25"/>
      <w:r>
        <w:rPr>
          <w:rFonts w:eastAsia="楷体_GB2312"/>
          <w:bCs/>
          <w:kern w:val="0"/>
          <w:sz w:val="32"/>
          <w:szCs w:val="32"/>
        </w:rPr>
        <w:t>推进特色中小城市点状开发</w:t>
      </w:r>
      <w:bookmarkEnd w:id="169"/>
      <w:r>
        <w:rPr>
          <w:rFonts w:eastAsia="楷体_GB2312"/>
          <w:bCs/>
          <w:kern w:val="0"/>
          <w:sz w:val="32"/>
          <w:szCs w:val="32"/>
        </w:rPr>
        <w:t>。</w:t>
      </w:r>
      <w:r>
        <w:rPr>
          <w:rFonts w:eastAsia="仿宋_GB2312"/>
          <w:kern w:val="0"/>
          <w:sz w:val="32"/>
          <w:szCs w:val="32"/>
        </w:rPr>
        <w:t>以盟</w:t>
      </w:r>
      <w:r>
        <w:rPr>
          <w:rFonts w:hint="eastAsia" w:eastAsia="仿宋_GB2312"/>
          <w:kern w:val="0"/>
          <w:sz w:val="32"/>
          <w:szCs w:val="32"/>
        </w:rPr>
        <w:t>行政公署、</w:t>
      </w:r>
      <w:r>
        <w:rPr>
          <w:rFonts w:eastAsia="仿宋_GB2312"/>
          <w:kern w:val="0"/>
          <w:sz w:val="32"/>
          <w:szCs w:val="32"/>
        </w:rPr>
        <w:t>市</w:t>
      </w:r>
      <w:r>
        <w:rPr>
          <w:rFonts w:hint="eastAsia" w:eastAsia="仿宋_GB2312"/>
          <w:kern w:val="0"/>
          <w:sz w:val="32"/>
          <w:szCs w:val="32"/>
        </w:rPr>
        <w:t>人民政府</w:t>
      </w:r>
      <w:r>
        <w:rPr>
          <w:rFonts w:eastAsia="仿宋_GB2312"/>
          <w:kern w:val="0"/>
          <w:sz w:val="32"/>
          <w:szCs w:val="32"/>
        </w:rPr>
        <w:t>所在地城市为重点，推动城市发展由规模扩张向集中集聚集约转变，加快产业转型升级，着力提高公共服务质量，不断提升城市品质，进一步促进人口集中，推进特色中小城市点状开发。海（海拉尔</w:t>
      </w:r>
      <w:r>
        <w:rPr>
          <w:rFonts w:hint="eastAsia" w:eastAsia="仿宋_GB2312"/>
          <w:kern w:val="0"/>
          <w:sz w:val="32"/>
          <w:szCs w:val="32"/>
        </w:rPr>
        <w:t>区</w:t>
      </w:r>
      <w:r>
        <w:rPr>
          <w:rFonts w:eastAsia="仿宋_GB2312"/>
          <w:kern w:val="0"/>
          <w:sz w:val="32"/>
          <w:szCs w:val="32"/>
        </w:rPr>
        <w:t>）满（满洲里</w:t>
      </w:r>
      <w:r>
        <w:rPr>
          <w:rFonts w:hint="eastAsia" w:eastAsia="仿宋_GB2312"/>
          <w:kern w:val="0"/>
          <w:sz w:val="32"/>
          <w:szCs w:val="32"/>
        </w:rPr>
        <w:t>市</w:t>
      </w:r>
      <w:r>
        <w:rPr>
          <w:rFonts w:eastAsia="仿宋_GB2312"/>
          <w:kern w:val="0"/>
          <w:sz w:val="32"/>
          <w:szCs w:val="32"/>
        </w:rPr>
        <w:t>）组团打造国家向俄蒙开放的重要门户，绥（绥芬河</w:t>
      </w:r>
      <w:r>
        <w:rPr>
          <w:rFonts w:hint="eastAsia" w:eastAsia="仿宋_GB2312"/>
          <w:kern w:val="0"/>
          <w:sz w:val="32"/>
          <w:szCs w:val="32"/>
        </w:rPr>
        <w:t>市</w:t>
      </w:r>
      <w:r>
        <w:rPr>
          <w:rFonts w:eastAsia="仿宋_GB2312"/>
          <w:kern w:val="0"/>
          <w:sz w:val="32"/>
          <w:szCs w:val="32"/>
        </w:rPr>
        <w:t>）满（满洲里</w:t>
      </w:r>
      <w:r>
        <w:rPr>
          <w:rFonts w:hint="eastAsia" w:eastAsia="仿宋_GB2312"/>
          <w:kern w:val="0"/>
          <w:sz w:val="32"/>
          <w:szCs w:val="32"/>
        </w:rPr>
        <w:t>市</w:t>
      </w:r>
      <w:r>
        <w:rPr>
          <w:rFonts w:eastAsia="仿宋_GB2312"/>
          <w:kern w:val="0"/>
          <w:sz w:val="32"/>
          <w:szCs w:val="32"/>
        </w:rPr>
        <w:t>）经济通道的物流支撑性节点和重要的旅游服务中心。推进乌兰浩特</w:t>
      </w:r>
      <w:r>
        <w:rPr>
          <w:rFonts w:hint="eastAsia" w:eastAsia="仿宋_GB2312"/>
          <w:kern w:val="0"/>
          <w:sz w:val="32"/>
          <w:szCs w:val="32"/>
        </w:rPr>
        <w:t>市</w:t>
      </w:r>
      <w:r>
        <w:rPr>
          <w:rFonts w:eastAsia="仿宋_GB2312"/>
          <w:kern w:val="0"/>
          <w:sz w:val="32"/>
          <w:szCs w:val="32"/>
        </w:rPr>
        <w:t>与</w:t>
      </w:r>
      <w:r>
        <w:rPr>
          <w:rFonts w:hint="eastAsia" w:eastAsia="仿宋_GB2312"/>
          <w:kern w:val="0"/>
          <w:sz w:val="32"/>
          <w:szCs w:val="32"/>
        </w:rPr>
        <w:t>科尔沁右翼前旗</w:t>
      </w:r>
      <w:r>
        <w:rPr>
          <w:rFonts w:eastAsia="仿宋_GB2312"/>
          <w:kern w:val="0"/>
          <w:sz w:val="32"/>
          <w:szCs w:val="32"/>
        </w:rPr>
        <w:t>、集宁区与</w:t>
      </w:r>
      <w:r>
        <w:rPr>
          <w:rFonts w:hint="eastAsia" w:eastAsia="仿宋_GB2312"/>
          <w:kern w:val="0"/>
          <w:sz w:val="32"/>
          <w:szCs w:val="32"/>
        </w:rPr>
        <w:t>察哈尔右翼前旗</w:t>
      </w:r>
      <w:r>
        <w:rPr>
          <w:rFonts w:eastAsia="仿宋_GB2312"/>
          <w:kern w:val="0"/>
          <w:sz w:val="32"/>
          <w:szCs w:val="32"/>
        </w:rPr>
        <w:t>一体化发展，东胜区与康巴什区错位发展。锡林浩特市合理保护和利用草原景观资源优势，保障交通廊道、重大基础设施等建设空间，实现草原城市高品质发展。巴彦淖尔</w:t>
      </w:r>
      <w:r>
        <w:rPr>
          <w:rFonts w:hint="eastAsia" w:eastAsia="仿宋_GB2312"/>
          <w:kern w:val="0"/>
          <w:sz w:val="32"/>
          <w:szCs w:val="32"/>
        </w:rPr>
        <w:t>市</w:t>
      </w:r>
      <w:r>
        <w:rPr>
          <w:rFonts w:eastAsia="仿宋_GB2312"/>
          <w:kern w:val="0"/>
          <w:sz w:val="32"/>
          <w:szCs w:val="32"/>
        </w:rPr>
        <w:t>高标准推进双河区建设，加强城镇联动发展，建成河套平原上的生态宜居城市。乌海及周边地区推进区域基础设施和公共服务一体化。</w:t>
      </w:r>
    </w:p>
    <w:p w14:paraId="169A9481">
      <w:pPr>
        <w:spacing w:line="600" w:lineRule="exact"/>
        <w:ind w:firstLine="640" w:firstLineChars="200"/>
        <w:rPr>
          <w:rFonts w:eastAsia="仿宋_GB2312"/>
          <w:kern w:val="0"/>
          <w:sz w:val="32"/>
          <w:szCs w:val="32"/>
        </w:rPr>
      </w:pPr>
      <w:r>
        <w:rPr>
          <w:rFonts w:eastAsia="楷体_GB2312"/>
          <w:bCs/>
          <w:kern w:val="0"/>
          <w:sz w:val="32"/>
          <w:szCs w:val="32"/>
        </w:rPr>
        <w:t>提升县域城镇服务功能和承载能力</w:t>
      </w:r>
      <w:bookmarkStart w:id="170" w:name="OLE_LINK26"/>
      <w:r>
        <w:rPr>
          <w:rFonts w:eastAsia="楷体_GB2312"/>
          <w:bCs/>
          <w:kern w:val="0"/>
          <w:sz w:val="32"/>
          <w:szCs w:val="32"/>
        </w:rPr>
        <w:t>。</w:t>
      </w:r>
      <w:r>
        <w:rPr>
          <w:rFonts w:eastAsia="仿宋_GB2312"/>
          <w:kern w:val="0"/>
          <w:sz w:val="32"/>
          <w:szCs w:val="32"/>
        </w:rPr>
        <w:t>发挥旗县</w:t>
      </w:r>
      <w:r>
        <w:rPr>
          <w:rFonts w:hint="eastAsia" w:eastAsia="仿宋_GB2312"/>
          <w:kern w:val="0"/>
          <w:sz w:val="32"/>
          <w:szCs w:val="32"/>
        </w:rPr>
        <w:t>（市、区）人民政府所在地和</w:t>
      </w:r>
      <w:r>
        <w:rPr>
          <w:rFonts w:eastAsia="仿宋_GB2312"/>
          <w:kern w:val="0"/>
          <w:sz w:val="32"/>
          <w:szCs w:val="32"/>
        </w:rPr>
        <w:t>重点镇疏</w:t>
      </w:r>
      <w:bookmarkEnd w:id="170"/>
      <w:r>
        <w:rPr>
          <w:rFonts w:eastAsia="仿宋_GB2312"/>
          <w:kern w:val="0"/>
          <w:sz w:val="32"/>
          <w:szCs w:val="32"/>
        </w:rPr>
        <w:t>解大中城市功能，承接乡镇人口转移与要素集聚，带动县域全面高质量发展的重要作用，坚持特色产业发展、服务</w:t>
      </w:r>
      <w:r>
        <w:rPr>
          <w:rFonts w:hint="eastAsia" w:eastAsia="仿宋_GB2312"/>
          <w:kern w:val="0"/>
          <w:sz w:val="32"/>
          <w:szCs w:val="32"/>
        </w:rPr>
        <w:t>“</w:t>
      </w:r>
      <w:r>
        <w:rPr>
          <w:rFonts w:eastAsia="仿宋_GB2312"/>
          <w:kern w:val="0"/>
          <w:sz w:val="32"/>
          <w:szCs w:val="32"/>
        </w:rPr>
        <w:t>三农三牧</w:t>
      </w:r>
      <w:r>
        <w:rPr>
          <w:rFonts w:hint="eastAsia" w:eastAsia="仿宋_GB2312"/>
          <w:kern w:val="0"/>
          <w:sz w:val="32"/>
          <w:szCs w:val="32"/>
        </w:rPr>
        <w:t>”</w:t>
      </w:r>
      <w:r>
        <w:rPr>
          <w:rFonts w:eastAsia="仿宋_GB2312"/>
          <w:kern w:val="0"/>
          <w:sz w:val="32"/>
          <w:szCs w:val="32"/>
        </w:rPr>
        <w:t>，推进城乡一体化建设，以县城为中心促进农牧民就近就地城镇化。城市群内的中心城</w:t>
      </w:r>
      <w:r>
        <w:rPr>
          <w:rFonts w:hint="eastAsia" w:eastAsia="仿宋_GB2312"/>
          <w:kern w:val="0"/>
          <w:sz w:val="32"/>
          <w:szCs w:val="32"/>
        </w:rPr>
        <w:t>市</w:t>
      </w:r>
      <w:r>
        <w:rPr>
          <w:rFonts w:eastAsia="仿宋_GB2312"/>
          <w:kern w:val="0"/>
          <w:sz w:val="32"/>
          <w:szCs w:val="32"/>
        </w:rPr>
        <w:t>重点强化产业协调与分工，明确发展定位，统筹产城融合发展；沿轴沿线沿边点状发展的中心城</w:t>
      </w:r>
      <w:r>
        <w:rPr>
          <w:rFonts w:hint="eastAsia" w:eastAsia="仿宋_GB2312"/>
          <w:kern w:val="0"/>
          <w:sz w:val="32"/>
          <w:szCs w:val="32"/>
        </w:rPr>
        <w:t>镇</w:t>
      </w:r>
      <w:r>
        <w:rPr>
          <w:rFonts w:eastAsia="仿宋_GB2312"/>
          <w:kern w:val="0"/>
          <w:sz w:val="32"/>
          <w:szCs w:val="32"/>
        </w:rPr>
        <w:t>要把通道经济优势加速转变为落地经济优势，形成多要素高效流通的空间廊道；重点生态功能区内点状开发城镇要进一步完善公共服务功能，提高人口承载能力，做好城乡融合，助力乡村振兴。</w:t>
      </w:r>
    </w:p>
    <w:p w14:paraId="08BEB549">
      <w:pPr>
        <w:spacing w:line="600" w:lineRule="exact"/>
        <w:ind w:firstLine="640" w:firstLineChars="200"/>
        <w:rPr>
          <w:rFonts w:eastAsia="仿宋_GB2312"/>
          <w:kern w:val="0"/>
          <w:sz w:val="32"/>
          <w:szCs w:val="32"/>
          <w:u w:val="single"/>
        </w:rPr>
      </w:pPr>
      <w:bookmarkStart w:id="171" w:name="OLE_LINK27"/>
      <w:r>
        <w:rPr>
          <w:rFonts w:eastAsia="楷体_GB2312"/>
          <w:bCs/>
          <w:kern w:val="0"/>
          <w:sz w:val="32"/>
          <w:szCs w:val="32"/>
        </w:rPr>
        <w:t>引导重点边境口岸城镇建设</w:t>
      </w:r>
      <w:bookmarkEnd w:id="171"/>
      <w:r>
        <w:rPr>
          <w:rFonts w:eastAsia="楷体_GB2312"/>
          <w:bCs/>
          <w:kern w:val="0"/>
          <w:sz w:val="32"/>
          <w:szCs w:val="32"/>
        </w:rPr>
        <w:t>。</w:t>
      </w:r>
      <w:r>
        <w:rPr>
          <w:rFonts w:eastAsia="仿宋_GB2312"/>
          <w:kern w:val="0"/>
          <w:sz w:val="32"/>
          <w:szCs w:val="32"/>
        </w:rPr>
        <w:t>以服务</w:t>
      </w:r>
      <w:r>
        <w:rPr>
          <w:rFonts w:hint="eastAsia" w:eastAsia="仿宋_GB2312"/>
          <w:kern w:val="0"/>
          <w:sz w:val="32"/>
          <w:szCs w:val="32"/>
        </w:rPr>
        <w:t>内蒙古</w:t>
      </w:r>
      <w:r>
        <w:rPr>
          <w:rFonts w:eastAsia="仿宋_GB2312"/>
          <w:kern w:val="0"/>
          <w:sz w:val="32"/>
          <w:szCs w:val="32"/>
        </w:rPr>
        <w:t>自治区对外开放功能与产业体系布局为重点，充分发挥口岸优势，结合腹地资源禀赋和产业基础，促进口岸与城镇互相补充、融合发展，打造高标准口岸城镇，形成口岸带动、腹地支撑、边腹互动的发展格局。以乌兰察布</w:t>
      </w:r>
      <w:r>
        <w:rPr>
          <w:rFonts w:hint="eastAsia" w:ascii="仿宋_GB2312" w:hAnsi="仿宋_GB2312" w:eastAsia="仿宋_GB2312" w:cs="仿宋_GB2312"/>
          <w:kern w:val="0"/>
          <w:sz w:val="32"/>
          <w:szCs w:val="32"/>
        </w:rPr>
        <w:t>-</w:t>
      </w:r>
      <w:r>
        <w:rPr>
          <w:rFonts w:eastAsia="仿宋_GB2312"/>
          <w:kern w:val="0"/>
          <w:sz w:val="32"/>
          <w:szCs w:val="32"/>
        </w:rPr>
        <w:t>二连浩特陆港型（陆上边境口岸型）物流枢纽等建设为契机，大力发展泛口岸经济，统筹口岸、通道和各类开放载体，明确重点口岸功能定位，优化口岸资源整合配置，加快推动沿边经济由</w:t>
      </w:r>
      <w:r>
        <w:rPr>
          <w:rFonts w:hint="eastAsia" w:eastAsia="仿宋_GB2312"/>
          <w:kern w:val="0"/>
          <w:sz w:val="32"/>
          <w:szCs w:val="32"/>
        </w:rPr>
        <w:t>“</w:t>
      </w:r>
      <w:r>
        <w:rPr>
          <w:rFonts w:eastAsia="仿宋_GB2312"/>
          <w:kern w:val="0"/>
          <w:sz w:val="32"/>
          <w:szCs w:val="32"/>
        </w:rPr>
        <w:t>通道经济</w:t>
      </w:r>
      <w:r>
        <w:rPr>
          <w:rFonts w:hint="eastAsia" w:eastAsia="仿宋_GB2312"/>
          <w:kern w:val="0"/>
          <w:sz w:val="32"/>
          <w:szCs w:val="32"/>
        </w:rPr>
        <w:t>”</w:t>
      </w:r>
      <w:r>
        <w:rPr>
          <w:rFonts w:eastAsia="仿宋_GB2312"/>
          <w:kern w:val="0"/>
          <w:sz w:val="32"/>
          <w:szCs w:val="32"/>
        </w:rPr>
        <w:t>向</w:t>
      </w:r>
      <w:r>
        <w:rPr>
          <w:rFonts w:hint="eastAsia" w:eastAsia="仿宋_GB2312"/>
          <w:kern w:val="0"/>
          <w:sz w:val="32"/>
          <w:szCs w:val="32"/>
        </w:rPr>
        <w:t>“</w:t>
      </w:r>
      <w:r>
        <w:rPr>
          <w:rFonts w:eastAsia="仿宋_GB2312"/>
          <w:kern w:val="0"/>
          <w:sz w:val="32"/>
          <w:szCs w:val="32"/>
        </w:rPr>
        <w:t>落地经济</w:t>
      </w:r>
      <w:r>
        <w:rPr>
          <w:rFonts w:hint="eastAsia" w:eastAsia="仿宋_GB2312"/>
          <w:kern w:val="0"/>
          <w:sz w:val="32"/>
          <w:szCs w:val="32"/>
        </w:rPr>
        <w:t>”</w:t>
      </w:r>
      <w:r>
        <w:rPr>
          <w:rFonts w:eastAsia="仿宋_GB2312"/>
          <w:kern w:val="0"/>
          <w:sz w:val="32"/>
          <w:szCs w:val="32"/>
        </w:rPr>
        <w:t>转型。保障满洲里、二连浩特、呼和浩特等陆港空港口岸建设用地，提升满洲里、甘其毛都、策克、满都拉等边境口岸服务支撑能力。支持满洲里、二连浩特重点开发开放试验区和边境经济合作区建设，构筑沿边开放增长点。支持满洲里、鄂尔多斯、呼和浩特、赤峰、包头综合保税区和巴彦淖尔、乌兰察布、通辽保税物流中心建设，推动高端加工制造业集聚。支持中国（内蒙古）自由贸易试验区设立和中蒙二连浩特</w:t>
      </w:r>
      <w:r>
        <w:rPr>
          <w:rFonts w:hint="eastAsia" w:eastAsia="仿宋_GB2312"/>
          <w:kern w:val="0"/>
          <w:sz w:val="32"/>
          <w:szCs w:val="32"/>
        </w:rPr>
        <w:t>-</w:t>
      </w:r>
      <w:r>
        <w:rPr>
          <w:rFonts w:eastAsia="仿宋_GB2312"/>
          <w:kern w:val="0"/>
          <w:sz w:val="32"/>
          <w:szCs w:val="32"/>
        </w:rPr>
        <w:t>扎门乌德经济合作区建设。保障依托沿边公路和边民互市贸易点建设抵边新村等边民集中集聚点的空间需求。加强边境地区公共服务设施和基础设施补短板强弱项工程的空间支撑。</w:t>
      </w:r>
    </w:p>
    <w:p w14:paraId="75550901">
      <w:pPr>
        <w:spacing w:line="600" w:lineRule="exact"/>
        <w:ind w:firstLine="640" w:firstLineChars="200"/>
        <w:rPr>
          <w:sz w:val="22"/>
        </w:rPr>
      </w:pPr>
      <w:r>
        <w:rPr>
          <w:rFonts w:eastAsia="楷体_GB2312"/>
          <w:bCs/>
          <w:kern w:val="0"/>
          <w:sz w:val="32"/>
          <w:szCs w:val="32"/>
        </w:rPr>
        <w:t>优化人口减少城镇空间布局。</w:t>
      </w:r>
      <w:r>
        <w:rPr>
          <w:rFonts w:eastAsia="仿宋_GB2312"/>
          <w:kern w:val="0"/>
          <w:sz w:val="32"/>
          <w:szCs w:val="32"/>
        </w:rPr>
        <w:t>引导人口和公共服务资源向中心城区适度集中，注重保障补齐公共服务设施与基础设施短板用地，鼓励人口流出城镇加强存量建设用地混合利用和空间复合利用。对于城镇化程度不高，但具有生态和农牧业优势的地区，可依法利用一定比例土地发展休闲农业、生态旅游等产业，采取有效措施，避免破坏林地或影响森林生态功能发挥。对于边境人口逐渐流失的城镇，具有生态功能的地区要以城市更新为导向，整理并做好存量用地再利用；具有产业发展功能的地区要优化生产生活空间布局，增强产业吸附能力和人口吸引力；有口岸依托的城市，应明确与口岸协同发展要求，适度保障发展服务口岸的下游产业用地。</w:t>
      </w:r>
    </w:p>
    <w:p w14:paraId="47CED378">
      <w:pPr>
        <w:spacing w:after="156" w:afterLines="50" w:line="600" w:lineRule="exact"/>
        <w:ind w:firstLine="640" w:firstLineChars="200"/>
        <w:rPr>
          <w:rFonts w:eastAsia="黑体"/>
          <w:kern w:val="0"/>
          <w:sz w:val="32"/>
          <w:szCs w:val="30"/>
        </w:rPr>
      </w:pPr>
      <w:r>
        <w:rPr>
          <w:rFonts w:eastAsia="楷体_GB2312"/>
          <w:bCs/>
          <w:kern w:val="0"/>
          <w:sz w:val="32"/>
          <w:szCs w:val="32"/>
        </w:rPr>
        <w:t>形成大中小城市和小城镇协调发展的城镇体系。</w:t>
      </w:r>
      <w:r>
        <w:rPr>
          <w:rFonts w:eastAsia="仿宋_GB2312"/>
          <w:kern w:val="0"/>
          <w:sz w:val="32"/>
          <w:szCs w:val="32"/>
        </w:rPr>
        <w:t>以资源环境承载能力为约束，结合城市发展阶段特征，按照中心城区人口规模，</w:t>
      </w:r>
      <w:r>
        <w:rPr>
          <w:rFonts w:hint="eastAsia" w:eastAsia="仿宋_GB2312"/>
          <w:kern w:val="0"/>
          <w:sz w:val="32"/>
          <w:szCs w:val="32"/>
        </w:rPr>
        <w:t>形成</w:t>
      </w:r>
      <w:r>
        <w:rPr>
          <w:rFonts w:eastAsia="仿宋_GB2312"/>
          <w:kern w:val="0"/>
          <w:sz w:val="32"/>
          <w:szCs w:val="32"/>
        </w:rPr>
        <w:t>由呼和浩特</w:t>
      </w:r>
      <w:r>
        <w:rPr>
          <w:rFonts w:hint="eastAsia" w:eastAsia="仿宋_GB2312"/>
          <w:kern w:val="0"/>
          <w:sz w:val="32"/>
          <w:szCs w:val="32"/>
        </w:rPr>
        <w:t>市</w:t>
      </w:r>
      <w:r>
        <w:rPr>
          <w:rFonts w:eastAsia="仿宋_GB2312"/>
          <w:kern w:val="0"/>
          <w:sz w:val="32"/>
          <w:szCs w:val="32"/>
        </w:rPr>
        <w:t>1个</w:t>
      </w:r>
      <w:r>
        <w:rPr>
          <w:rFonts w:hAnsi="仿宋_GB2312" w:eastAsia="仿宋_GB2312"/>
          <w:kern w:val="0"/>
          <w:sz w:val="32"/>
          <w:szCs w:val="32"/>
        </w:rPr>
        <w:t>Ⅰ</w:t>
      </w:r>
      <w:r>
        <w:rPr>
          <w:rFonts w:eastAsia="仿宋_GB2312"/>
          <w:kern w:val="0"/>
          <w:sz w:val="32"/>
          <w:szCs w:val="32"/>
        </w:rPr>
        <w:t>型大城市，包头</w:t>
      </w:r>
      <w:r>
        <w:rPr>
          <w:rFonts w:hint="eastAsia" w:eastAsia="仿宋_GB2312"/>
          <w:kern w:val="0"/>
          <w:sz w:val="32"/>
          <w:szCs w:val="32"/>
        </w:rPr>
        <w:t>市</w:t>
      </w:r>
      <w:r>
        <w:rPr>
          <w:rFonts w:eastAsia="仿宋_GB2312"/>
          <w:kern w:val="0"/>
          <w:sz w:val="32"/>
          <w:szCs w:val="32"/>
        </w:rPr>
        <w:t>、赤峰</w:t>
      </w:r>
      <w:r>
        <w:rPr>
          <w:rFonts w:hint="eastAsia" w:eastAsia="仿宋_GB2312"/>
          <w:kern w:val="0"/>
          <w:sz w:val="32"/>
          <w:szCs w:val="32"/>
        </w:rPr>
        <w:t>市</w:t>
      </w:r>
      <w:r>
        <w:rPr>
          <w:rFonts w:eastAsia="仿宋_GB2312"/>
          <w:kern w:val="0"/>
          <w:sz w:val="32"/>
          <w:szCs w:val="32"/>
        </w:rPr>
        <w:t>、鄂尔多斯</w:t>
      </w:r>
      <w:r>
        <w:rPr>
          <w:rFonts w:hint="eastAsia" w:eastAsia="仿宋_GB2312"/>
          <w:kern w:val="0"/>
          <w:sz w:val="32"/>
          <w:szCs w:val="32"/>
        </w:rPr>
        <w:t>市等</w:t>
      </w:r>
      <w:r>
        <w:rPr>
          <w:rFonts w:eastAsia="仿宋_GB2312"/>
          <w:kern w:val="0"/>
          <w:sz w:val="32"/>
          <w:szCs w:val="32"/>
        </w:rPr>
        <w:t>3个</w:t>
      </w:r>
      <w:r>
        <w:rPr>
          <w:rFonts w:hAnsi="仿宋_GB2312" w:eastAsia="仿宋_GB2312"/>
          <w:kern w:val="0"/>
          <w:sz w:val="32"/>
          <w:szCs w:val="32"/>
        </w:rPr>
        <w:t>Ⅱ</w:t>
      </w:r>
      <w:r>
        <w:rPr>
          <w:rFonts w:eastAsia="仿宋_GB2312"/>
          <w:kern w:val="0"/>
          <w:sz w:val="32"/>
          <w:szCs w:val="32"/>
        </w:rPr>
        <w:t>型大城市，乌兰察布</w:t>
      </w:r>
      <w:r>
        <w:rPr>
          <w:rFonts w:hint="eastAsia" w:eastAsia="仿宋_GB2312"/>
          <w:kern w:val="0"/>
          <w:sz w:val="32"/>
          <w:szCs w:val="32"/>
        </w:rPr>
        <w:t>市</w:t>
      </w:r>
      <w:r>
        <w:rPr>
          <w:rFonts w:eastAsia="仿宋_GB2312"/>
          <w:kern w:val="0"/>
          <w:sz w:val="32"/>
          <w:szCs w:val="32"/>
        </w:rPr>
        <w:t>、通辽</w:t>
      </w:r>
      <w:r>
        <w:rPr>
          <w:rFonts w:hint="eastAsia" w:eastAsia="仿宋_GB2312"/>
          <w:kern w:val="0"/>
          <w:sz w:val="32"/>
          <w:szCs w:val="32"/>
        </w:rPr>
        <w:t>市</w:t>
      </w:r>
      <w:r>
        <w:rPr>
          <w:rFonts w:eastAsia="仿宋_GB2312"/>
          <w:kern w:val="0"/>
          <w:sz w:val="32"/>
          <w:szCs w:val="32"/>
        </w:rPr>
        <w:t>、乌海</w:t>
      </w:r>
      <w:r>
        <w:rPr>
          <w:rFonts w:hint="eastAsia" w:eastAsia="仿宋_GB2312"/>
          <w:kern w:val="0"/>
          <w:sz w:val="32"/>
          <w:szCs w:val="32"/>
        </w:rPr>
        <w:t>市等</w:t>
      </w:r>
      <w:r>
        <w:rPr>
          <w:rFonts w:eastAsia="仿宋_GB2312"/>
          <w:kern w:val="0"/>
          <w:sz w:val="32"/>
          <w:szCs w:val="32"/>
        </w:rPr>
        <w:t>3个中等城市，巴彦淖尔</w:t>
      </w:r>
      <w:r>
        <w:rPr>
          <w:rFonts w:hint="eastAsia" w:eastAsia="仿宋_GB2312"/>
          <w:kern w:val="0"/>
          <w:sz w:val="32"/>
          <w:szCs w:val="32"/>
        </w:rPr>
        <w:t>市</w:t>
      </w:r>
      <w:r>
        <w:rPr>
          <w:rFonts w:eastAsia="仿宋_GB2312"/>
          <w:kern w:val="0"/>
          <w:sz w:val="32"/>
          <w:szCs w:val="32"/>
        </w:rPr>
        <w:t>、呼伦贝尔</w:t>
      </w:r>
      <w:r>
        <w:rPr>
          <w:rFonts w:hint="eastAsia" w:eastAsia="仿宋_GB2312"/>
          <w:kern w:val="0"/>
          <w:sz w:val="32"/>
          <w:szCs w:val="32"/>
        </w:rPr>
        <w:t>市</w:t>
      </w:r>
      <w:r>
        <w:rPr>
          <w:rFonts w:eastAsia="仿宋_GB2312"/>
          <w:kern w:val="0"/>
          <w:sz w:val="32"/>
          <w:szCs w:val="32"/>
        </w:rPr>
        <w:t>、乌兰浩特</w:t>
      </w:r>
      <w:r>
        <w:rPr>
          <w:rFonts w:hint="eastAsia" w:eastAsia="仿宋_GB2312"/>
          <w:kern w:val="0"/>
          <w:sz w:val="32"/>
          <w:szCs w:val="32"/>
        </w:rPr>
        <w:t>市</w:t>
      </w:r>
      <w:r>
        <w:rPr>
          <w:rFonts w:eastAsia="仿宋_GB2312"/>
          <w:kern w:val="0"/>
          <w:sz w:val="32"/>
          <w:szCs w:val="32"/>
        </w:rPr>
        <w:t>、锡林浩特</w:t>
      </w:r>
      <w:r>
        <w:rPr>
          <w:rFonts w:hint="eastAsia" w:eastAsia="仿宋_GB2312"/>
          <w:kern w:val="0"/>
          <w:sz w:val="32"/>
          <w:szCs w:val="32"/>
        </w:rPr>
        <w:t>市</w:t>
      </w:r>
      <w:r>
        <w:rPr>
          <w:rFonts w:eastAsia="仿宋_GB2312"/>
          <w:kern w:val="0"/>
          <w:sz w:val="32"/>
          <w:szCs w:val="32"/>
        </w:rPr>
        <w:t>、满洲里</w:t>
      </w:r>
      <w:r>
        <w:rPr>
          <w:rFonts w:hint="eastAsia" w:eastAsia="仿宋_GB2312"/>
          <w:kern w:val="0"/>
          <w:sz w:val="32"/>
          <w:szCs w:val="32"/>
        </w:rPr>
        <w:t>市等</w:t>
      </w:r>
      <w:r>
        <w:rPr>
          <w:rFonts w:eastAsia="仿宋_GB2312"/>
          <w:kern w:val="0"/>
          <w:sz w:val="32"/>
          <w:szCs w:val="32"/>
        </w:rPr>
        <w:t>5个</w:t>
      </w:r>
      <w:r>
        <w:rPr>
          <w:rFonts w:hAnsi="仿宋_GB2312" w:eastAsia="仿宋_GB2312"/>
          <w:kern w:val="0"/>
          <w:sz w:val="32"/>
          <w:szCs w:val="32"/>
        </w:rPr>
        <w:t>Ⅰ</w:t>
      </w:r>
      <w:r>
        <w:rPr>
          <w:rFonts w:eastAsia="仿宋_GB2312"/>
          <w:kern w:val="0"/>
          <w:sz w:val="32"/>
          <w:szCs w:val="32"/>
        </w:rPr>
        <w:t>型小城市，霍林郭勒</w:t>
      </w:r>
      <w:r>
        <w:rPr>
          <w:rFonts w:hint="eastAsia" w:eastAsia="仿宋_GB2312"/>
          <w:kern w:val="0"/>
          <w:sz w:val="32"/>
          <w:szCs w:val="32"/>
        </w:rPr>
        <w:t>市</w:t>
      </w:r>
      <w:r>
        <w:rPr>
          <w:rFonts w:eastAsia="仿宋_GB2312"/>
          <w:kern w:val="0"/>
          <w:sz w:val="32"/>
          <w:szCs w:val="32"/>
        </w:rPr>
        <w:t>、二连浩特</w:t>
      </w:r>
      <w:r>
        <w:rPr>
          <w:rFonts w:hint="eastAsia" w:eastAsia="仿宋_GB2312"/>
          <w:kern w:val="0"/>
          <w:sz w:val="32"/>
          <w:szCs w:val="32"/>
        </w:rPr>
        <w:t>市</w:t>
      </w:r>
      <w:r>
        <w:rPr>
          <w:rFonts w:eastAsia="仿宋_GB2312"/>
          <w:kern w:val="0"/>
          <w:sz w:val="32"/>
          <w:szCs w:val="32"/>
        </w:rPr>
        <w:t>、丰镇</w:t>
      </w:r>
      <w:r>
        <w:rPr>
          <w:rFonts w:hint="eastAsia" w:eastAsia="仿宋_GB2312"/>
          <w:kern w:val="0"/>
          <w:sz w:val="32"/>
          <w:szCs w:val="32"/>
        </w:rPr>
        <w:t>市</w:t>
      </w:r>
      <w:r>
        <w:rPr>
          <w:rFonts w:eastAsia="仿宋_GB2312"/>
          <w:kern w:val="0"/>
          <w:sz w:val="32"/>
          <w:szCs w:val="32"/>
        </w:rPr>
        <w:t>、根河</w:t>
      </w:r>
      <w:r>
        <w:rPr>
          <w:rFonts w:hint="eastAsia" w:eastAsia="仿宋_GB2312"/>
          <w:kern w:val="0"/>
          <w:sz w:val="32"/>
          <w:szCs w:val="32"/>
        </w:rPr>
        <w:t>市</w:t>
      </w:r>
      <w:r>
        <w:rPr>
          <w:rFonts w:eastAsia="仿宋_GB2312"/>
          <w:kern w:val="0"/>
          <w:sz w:val="32"/>
          <w:szCs w:val="32"/>
        </w:rPr>
        <w:t>、额尔古纳</w:t>
      </w:r>
      <w:r>
        <w:rPr>
          <w:rFonts w:hint="eastAsia" w:eastAsia="仿宋_GB2312"/>
          <w:kern w:val="0"/>
          <w:sz w:val="32"/>
          <w:szCs w:val="32"/>
        </w:rPr>
        <w:t>市</w:t>
      </w:r>
      <w:r>
        <w:rPr>
          <w:rFonts w:eastAsia="仿宋_GB2312"/>
          <w:kern w:val="0"/>
          <w:sz w:val="32"/>
          <w:szCs w:val="32"/>
        </w:rPr>
        <w:t>、牙克石</w:t>
      </w:r>
      <w:r>
        <w:rPr>
          <w:rFonts w:hint="eastAsia" w:eastAsia="仿宋_GB2312"/>
          <w:kern w:val="0"/>
          <w:sz w:val="32"/>
          <w:szCs w:val="32"/>
        </w:rPr>
        <w:t>市</w:t>
      </w:r>
      <w:r>
        <w:rPr>
          <w:rFonts w:eastAsia="仿宋_GB2312"/>
          <w:kern w:val="0"/>
          <w:sz w:val="32"/>
          <w:szCs w:val="32"/>
        </w:rPr>
        <w:t>、扎兰屯</w:t>
      </w:r>
      <w:r>
        <w:rPr>
          <w:rFonts w:hint="eastAsia" w:eastAsia="仿宋_GB2312"/>
          <w:kern w:val="0"/>
          <w:sz w:val="32"/>
          <w:szCs w:val="32"/>
        </w:rPr>
        <w:t>市</w:t>
      </w:r>
      <w:r>
        <w:rPr>
          <w:rFonts w:eastAsia="仿宋_GB2312"/>
          <w:kern w:val="0"/>
          <w:sz w:val="32"/>
          <w:szCs w:val="32"/>
        </w:rPr>
        <w:t>、阿尔山</w:t>
      </w:r>
      <w:r>
        <w:rPr>
          <w:rFonts w:hint="eastAsia" w:eastAsia="仿宋_GB2312"/>
          <w:kern w:val="0"/>
          <w:sz w:val="32"/>
          <w:szCs w:val="32"/>
        </w:rPr>
        <w:t>市</w:t>
      </w:r>
      <w:r>
        <w:rPr>
          <w:rFonts w:eastAsia="仿宋_GB2312"/>
          <w:kern w:val="0"/>
          <w:sz w:val="32"/>
          <w:szCs w:val="32"/>
        </w:rPr>
        <w:t>、巴彦浩特</w:t>
      </w:r>
      <w:r>
        <w:rPr>
          <w:rFonts w:hint="eastAsia" w:eastAsia="仿宋_GB2312"/>
          <w:kern w:val="0"/>
          <w:sz w:val="32"/>
          <w:szCs w:val="32"/>
        </w:rPr>
        <w:t>镇等</w:t>
      </w:r>
      <w:r>
        <w:rPr>
          <w:rFonts w:eastAsia="仿宋_GB2312"/>
          <w:kern w:val="0"/>
          <w:sz w:val="32"/>
          <w:szCs w:val="32"/>
        </w:rPr>
        <w:t>9个</w:t>
      </w:r>
      <w:r>
        <w:rPr>
          <w:rFonts w:hAnsi="仿宋_GB2312" w:eastAsia="仿宋_GB2312"/>
          <w:kern w:val="0"/>
          <w:sz w:val="32"/>
          <w:szCs w:val="32"/>
        </w:rPr>
        <w:t>Ⅱ</w:t>
      </w:r>
      <w:r>
        <w:rPr>
          <w:rFonts w:eastAsia="仿宋_GB2312"/>
          <w:kern w:val="0"/>
          <w:sz w:val="32"/>
          <w:szCs w:val="32"/>
        </w:rPr>
        <w:t>型小城市和67个小城镇组成的自治区城镇规模等级体系。促进大中小城市和小城镇合理分工、功能互补、协同发展，到2035年，</w:t>
      </w:r>
      <w:r>
        <w:rPr>
          <w:rFonts w:hint="eastAsia" w:eastAsia="仿宋_GB2312"/>
          <w:kern w:val="0"/>
          <w:sz w:val="32"/>
          <w:szCs w:val="32"/>
        </w:rPr>
        <w:t>内蒙古自治区</w:t>
      </w:r>
      <w:r>
        <w:rPr>
          <w:rFonts w:eastAsia="仿宋_GB2312"/>
          <w:kern w:val="0"/>
          <w:sz w:val="32"/>
          <w:szCs w:val="32"/>
        </w:rPr>
        <w:t>常住人口城镇化率达72%</w:t>
      </w:r>
      <w:r>
        <w:rPr>
          <w:rFonts w:eastAsia="仿宋_GB2312"/>
          <w:sz w:val="32"/>
          <w:szCs w:val="32"/>
        </w:rPr>
        <w:t>（以城区常住人口为统计口径）</w:t>
      </w:r>
      <w:r>
        <w:rPr>
          <w:rFonts w:eastAsia="仿宋_GB2312"/>
          <w:kern w:val="0"/>
          <w:sz w:val="32"/>
          <w:szCs w:val="32"/>
        </w:rPr>
        <w:t>。</w:t>
      </w:r>
      <w:bookmarkStart w:id="172" w:name="_Toc58510775"/>
    </w:p>
    <w:p w14:paraId="74BC151F">
      <w:pPr>
        <w:spacing w:before="62" w:beforeLines="20"/>
        <w:ind w:firstLine="640" w:firstLineChars="200"/>
        <w:rPr>
          <w:rFonts w:eastAsia="仿宋_GB2312"/>
          <w:kern w:val="0"/>
          <w:sz w:val="32"/>
          <w:szCs w:val="32"/>
        </w:rPr>
      </w:pPr>
      <w:r>
        <w:rPr>
          <w:rFonts w:eastAsia="楷体_GB2312"/>
          <w:bCs/>
          <w:kern w:val="0"/>
          <w:sz w:val="32"/>
          <w:szCs w:val="32"/>
        </w:rPr>
        <w:t>优化城镇结构布局。</w:t>
      </w:r>
      <w:r>
        <w:rPr>
          <w:rFonts w:eastAsia="仿宋_GB2312"/>
          <w:kern w:val="0"/>
          <w:sz w:val="32"/>
          <w:szCs w:val="32"/>
        </w:rPr>
        <w:t>以城镇开发建设现状为基础，综合考虑资源承载能力、人口分布、经济布局、城乡统筹、城镇发展阶段和发展潜力，框定总量、限定容量，防止城镇盲目扩张和无序蔓延，促进城镇发展由外延扩张向内涵提升转变，优化城镇生产、生活、生态布局形态和功能结构，坚持</w:t>
      </w:r>
      <w:r>
        <w:rPr>
          <w:rFonts w:hint="eastAsia" w:eastAsia="仿宋_GB2312"/>
          <w:kern w:val="0"/>
          <w:sz w:val="32"/>
          <w:szCs w:val="32"/>
        </w:rPr>
        <w:t>“</w:t>
      </w:r>
      <w:r>
        <w:rPr>
          <w:rFonts w:eastAsia="仿宋_GB2312"/>
          <w:kern w:val="0"/>
          <w:sz w:val="32"/>
          <w:szCs w:val="32"/>
        </w:rPr>
        <w:t>以人定房、以</w:t>
      </w:r>
      <w:r>
        <w:rPr>
          <w:rFonts w:hint="eastAsia" w:eastAsia="仿宋_GB2312"/>
          <w:kern w:val="0"/>
          <w:sz w:val="32"/>
          <w:szCs w:val="32"/>
        </w:rPr>
        <w:t>房</w:t>
      </w:r>
      <w:r>
        <w:rPr>
          <w:rFonts w:eastAsia="仿宋_GB2312"/>
          <w:kern w:val="0"/>
          <w:sz w:val="32"/>
          <w:szCs w:val="32"/>
        </w:rPr>
        <w:t>定地</w:t>
      </w:r>
      <w:r>
        <w:rPr>
          <w:rFonts w:hint="eastAsia" w:eastAsia="仿宋_GB2312"/>
          <w:kern w:val="0"/>
          <w:sz w:val="32"/>
          <w:szCs w:val="32"/>
        </w:rPr>
        <w:t>”</w:t>
      </w:r>
      <w:r>
        <w:rPr>
          <w:rFonts w:eastAsia="仿宋_GB2312"/>
          <w:kern w:val="0"/>
          <w:sz w:val="32"/>
          <w:szCs w:val="32"/>
        </w:rPr>
        <w:t>原则，对接群众刚性和改善性居住需求</w:t>
      </w:r>
      <w:r>
        <w:rPr>
          <w:rFonts w:hint="eastAsia" w:eastAsia="仿宋_GB2312"/>
          <w:kern w:val="0"/>
          <w:sz w:val="32"/>
          <w:szCs w:val="32"/>
        </w:rPr>
        <w:t>，</w:t>
      </w:r>
      <w:r>
        <w:rPr>
          <w:rFonts w:eastAsia="仿宋_GB2312"/>
          <w:kern w:val="0"/>
          <w:sz w:val="32"/>
          <w:szCs w:val="32"/>
        </w:rPr>
        <w:t>加强保障性住房用地保障，促进职住平衡，统筹区域步道等城镇绿道空间，推动形成城镇集约高效、宜居适度，边界外山清水秀、开敞舒朗的国土空间格局。合理确定中心城区、中心城镇、其他建制镇和依法合规设立的各类开发区的城镇建设用地规模。</w:t>
      </w:r>
    </w:p>
    <w:bookmarkEnd w:id="160"/>
    <w:bookmarkEnd w:id="172"/>
    <w:p w14:paraId="4AF72170">
      <w:pPr>
        <w:pStyle w:val="3"/>
        <w:spacing w:before="156" w:beforeLines="50" w:after="156" w:afterLines="50" w:line="600" w:lineRule="exact"/>
        <w:rPr>
          <w:rFonts w:ascii="Times New Roman" w:hAnsi="Times New Roman"/>
          <w:b w:val="0"/>
          <w:bCs w:val="0"/>
        </w:rPr>
      </w:pPr>
      <w:bookmarkStart w:id="173" w:name="_Toc28162758"/>
      <w:bookmarkStart w:id="174" w:name="_Toc41137913"/>
      <w:bookmarkStart w:id="175" w:name="_Toc43113682"/>
      <w:bookmarkStart w:id="176" w:name="_Toc155861066"/>
      <w:bookmarkStart w:id="177" w:name="_Toc58510776"/>
      <w:bookmarkStart w:id="178" w:name="_Toc160715644"/>
      <w:r>
        <w:rPr>
          <w:rFonts w:ascii="Times New Roman" w:hAnsi="Times New Roman"/>
          <w:b w:val="0"/>
          <w:bCs w:val="0"/>
        </w:rPr>
        <w:t xml:space="preserve">第二节 </w:t>
      </w:r>
      <w:bookmarkEnd w:id="173"/>
      <w:bookmarkEnd w:id="174"/>
      <w:bookmarkEnd w:id="175"/>
      <w:r>
        <w:rPr>
          <w:rFonts w:ascii="Times New Roman" w:hAnsi="Times New Roman"/>
          <w:b w:val="0"/>
          <w:bCs w:val="0"/>
        </w:rPr>
        <w:t>合理布局产业空间</w:t>
      </w:r>
      <w:bookmarkEnd w:id="176"/>
      <w:bookmarkEnd w:id="177"/>
      <w:bookmarkEnd w:id="178"/>
    </w:p>
    <w:p w14:paraId="02F22F15">
      <w:pPr>
        <w:spacing w:line="600" w:lineRule="exact"/>
        <w:ind w:firstLine="640" w:firstLineChars="200"/>
        <w:rPr>
          <w:rFonts w:eastAsia="仿宋_GB2312"/>
          <w:kern w:val="0"/>
          <w:sz w:val="32"/>
          <w:szCs w:val="32"/>
        </w:rPr>
      </w:pPr>
      <w:r>
        <w:rPr>
          <w:rFonts w:eastAsia="楷体_GB2312"/>
          <w:bCs/>
          <w:kern w:val="0"/>
          <w:sz w:val="32"/>
          <w:szCs w:val="32"/>
        </w:rPr>
        <w:t>合理调整产业空间布局。</w:t>
      </w:r>
      <w:r>
        <w:rPr>
          <w:rFonts w:eastAsia="仿宋_GB2312"/>
          <w:kern w:val="0"/>
          <w:sz w:val="32"/>
          <w:szCs w:val="32"/>
        </w:rPr>
        <w:t>妥善处理产业布局与水资源、土地资源、矿产资源的匹配关系，调整优化与资源环境承载能力不相适应的产业布局。按照主体功能区定位和区域产业布局，统筹山南山北、东中西部产业布局，推进不同地区优势互补的差异化发展，培育形成具有竞争力的增长带动极。黄河</w:t>
      </w:r>
      <w:r>
        <w:rPr>
          <w:rFonts w:hint="eastAsia" w:eastAsia="仿宋_GB2312"/>
          <w:kern w:val="0"/>
          <w:sz w:val="32"/>
          <w:szCs w:val="32"/>
        </w:rPr>
        <w:t>“</w:t>
      </w:r>
      <w:r>
        <w:rPr>
          <w:rFonts w:eastAsia="仿宋_GB2312"/>
          <w:kern w:val="0"/>
          <w:sz w:val="32"/>
          <w:szCs w:val="32"/>
        </w:rPr>
        <w:t>几</w:t>
      </w:r>
      <w:r>
        <w:rPr>
          <w:rFonts w:hint="eastAsia" w:eastAsia="仿宋_GB2312"/>
          <w:kern w:val="0"/>
          <w:sz w:val="32"/>
          <w:szCs w:val="32"/>
        </w:rPr>
        <w:t>”</w:t>
      </w:r>
      <w:r>
        <w:rPr>
          <w:rFonts w:eastAsia="仿宋_GB2312"/>
          <w:kern w:val="0"/>
          <w:sz w:val="32"/>
          <w:szCs w:val="32"/>
        </w:rPr>
        <w:t>字弯地区，着力推进呼包鄂乌一体化发展，加快乌海及周边地区转型发展、河套地区协同发展，引导能源化工产业重点向鄂尔多斯</w:t>
      </w:r>
      <w:r>
        <w:rPr>
          <w:rFonts w:hint="eastAsia" w:eastAsia="仿宋_GB2312"/>
          <w:kern w:val="0"/>
          <w:sz w:val="32"/>
          <w:szCs w:val="32"/>
        </w:rPr>
        <w:t>市</w:t>
      </w:r>
      <w:r>
        <w:rPr>
          <w:rFonts w:eastAsia="仿宋_GB2312"/>
          <w:kern w:val="0"/>
          <w:sz w:val="32"/>
          <w:szCs w:val="32"/>
        </w:rPr>
        <w:t>等地区集中布局，风电、光伏等清洁能源主要在二连浩特</w:t>
      </w:r>
      <w:r>
        <w:rPr>
          <w:rFonts w:hint="eastAsia" w:eastAsia="仿宋_GB2312"/>
          <w:kern w:val="0"/>
          <w:sz w:val="32"/>
          <w:szCs w:val="32"/>
        </w:rPr>
        <w:t>市</w:t>
      </w:r>
      <w:r>
        <w:rPr>
          <w:rFonts w:eastAsia="仿宋_GB2312"/>
          <w:kern w:val="0"/>
          <w:sz w:val="32"/>
          <w:szCs w:val="32"/>
        </w:rPr>
        <w:t>以西沿边地区布局。</w:t>
      </w:r>
      <w:r>
        <w:rPr>
          <w:rFonts w:hint="eastAsia" w:eastAsia="仿宋_GB2312"/>
          <w:sz w:val="32"/>
          <w:szCs w:val="32"/>
        </w:rPr>
        <w:t>赤峰市、通辽市“</w:t>
      </w:r>
      <w:r>
        <w:rPr>
          <w:rFonts w:eastAsia="仿宋_GB2312"/>
          <w:sz w:val="32"/>
          <w:szCs w:val="32"/>
        </w:rPr>
        <w:t>双子星</w:t>
      </w:r>
      <w:r>
        <w:rPr>
          <w:rFonts w:hint="eastAsia" w:eastAsia="仿宋_GB2312"/>
          <w:sz w:val="32"/>
          <w:szCs w:val="32"/>
        </w:rPr>
        <w:t>”</w:t>
      </w:r>
      <w:r>
        <w:rPr>
          <w:rFonts w:eastAsia="仿宋_GB2312"/>
          <w:sz w:val="32"/>
          <w:szCs w:val="32"/>
        </w:rPr>
        <w:t>区域中心城市</w:t>
      </w:r>
      <w:r>
        <w:rPr>
          <w:rFonts w:eastAsia="仿宋_GB2312"/>
          <w:kern w:val="0"/>
          <w:sz w:val="32"/>
          <w:szCs w:val="32"/>
        </w:rPr>
        <w:t>，建设</w:t>
      </w:r>
      <w:r>
        <w:rPr>
          <w:rFonts w:hint="eastAsia" w:eastAsia="仿宋_GB2312"/>
          <w:kern w:val="0"/>
          <w:sz w:val="32"/>
          <w:szCs w:val="32"/>
        </w:rPr>
        <w:t>蒙东</w:t>
      </w:r>
      <w:r>
        <w:rPr>
          <w:rFonts w:eastAsia="仿宋_GB2312"/>
          <w:kern w:val="0"/>
          <w:sz w:val="32"/>
          <w:szCs w:val="32"/>
        </w:rPr>
        <w:t>承接产业转移示范区，完善区域性中心城市服务功能，加快融入京津冀协同发展，加强与东北经济区合作，提升辐射带动作用。</w:t>
      </w:r>
    </w:p>
    <w:p w14:paraId="00473A37">
      <w:pPr>
        <w:spacing w:line="600" w:lineRule="exact"/>
        <w:ind w:firstLine="640" w:firstLineChars="200"/>
        <w:rPr>
          <w:rFonts w:eastAsia="仿宋_GB2312"/>
          <w:kern w:val="0"/>
          <w:sz w:val="32"/>
          <w:szCs w:val="32"/>
        </w:rPr>
      </w:pPr>
      <w:r>
        <w:rPr>
          <w:rFonts w:eastAsia="楷体_GB2312"/>
          <w:bCs/>
          <w:kern w:val="0"/>
          <w:sz w:val="32"/>
          <w:szCs w:val="32"/>
        </w:rPr>
        <w:t>保障绿色先进制造业和新兴产业空间需求。</w:t>
      </w:r>
      <w:r>
        <w:rPr>
          <w:rFonts w:eastAsia="仿宋_GB2312"/>
          <w:kern w:val="0"/>
          <w:sz w:val="32"/>
          <w:szCs w:val="32"/>
        </w:rPr>
        <w:t>加快推进传统产业新兴化、新兴产业规模化、低端产业高端化、资源型产业增值化，</w:t>
      </w:r>
      <w:r>
        <w:rPr>
          <w:rFonts w:hint="eastAsia" w:eastAsia="仿宋_GB2312"/>
          <w:kern w:val="0"/>
          <w:sz w:val="32"/>
          <w:szCs w:val="32"/>
        </w:rPr>
        <w:t>加强</w:t>
      </w:r>
      <w:r>
        <w:rPr>
          <w:rFonts w:eastAsia="仿宋_GB2312"/>
          <w:kern w:val="0"/>
          <w:sz w:val="32"/>
          <w:szCs w:val="32"/>
        </w:rPr>
        <w:t>包头稀土新材料生产基地，乌兰察布石墨（烯）新材料生产基地，通辽、乌兰察布、包头、巴彦淖尔风电装备制造基地，呼和浩特光伏产业制造基地，包头应急医疗装备制造基地，呼和浩特、呼伦贝尔、赤峰、通辽医药产业基地，乌兰察布、和林格尔大数据基地的用地</w:t>
      </w:r>
      <w:r>
        <w:rPr>
          <w:rFonts w:hint="eastAsia" w:eastAsia="仿宋_GB2312"/>
          <w:kern w:val="0"/>
          <w:sz w:val="32"/>
          <w:szCs w:val="32"/>
        </w:rPr>
        <w:t>保障</w:t>
      </w:r>
      <w:r>
        <w:rPr>
          <w:rFonts w:eastAsia="仿宋_GB2312"/>
          <w:kern w:val="0"/>
          <w:sz w:val="32"/>
          <w:szCs w:val="32"/>
        </w:rPr>
        <w:t>，推动产业空间高效集聚发展。支持绿色转型发展，改变粗放型资源开发模式，支持非煤产业、非资源型产业、高新技术产业发展，优先保障风电、光伏等清洁能源，精细化工、高端钢铁、铝后加工、绿色农畜产品等先进制造业，新材料、生物医药、电子信息、节能环保、军民融合等新兴产业用地，严禁为产能过剩项目安排新增建设用地。</w:t>
      </w:r>
    </w:p>
    <w:p w14:paraId="04132AD2">
      <w:pPr>
        <w:spacing w:line="600" w:lineRule="exact"/>
        <w:ind w:firstLine="640" w:firstLineChars="200"/>
        <w:rPr>
          <w:rFonts w:eastAsia="仿宋_GB2312"/>
          <w:kern w:val="0"/>
          <w:sz w:val="32"/>
          <w:szCs w:val="32"/>
        </w:rPr>
      </w:pPr>
      <w:r>
        <w:rPr>
          <w:rFonts w:eastAsia="楷体_GB2312"/>
          <w:bCs/>
          <w:kern w:val="0"/>
          <w:sz w:val="32"/>
          <w:szCs w:val="32"/>
        </w:rPr>
        <w:t>推进产城融合发展。</w:t>
      </w:r>
      <w:r>
        <w:rPr>
          <w:rFonts w:eastAsia="仿宋_GB2312"/>
          <w:kern w:val="0"/>
          <w:sz w:val="32"/>
          <w:szCs w:val="32"/>
        </w:rPr>
        <w:t>推动产业集聚区向城镇周边集聚，城镇公共服务向产业集聚区延伸覆盖，提升城市综合服务功能，实现产业发展、城市建设和人口集聚相互促进、融合发展。以能源化工为主的资源型开发区，与城镇之间预留适当安全防护距离，开发区配套服务在相邻的城镇统一布局。以装备制造业为主的开发区，依托城镇统筹规划建设，开发区周边配套综合生活和生产服务设施。生态文化资源丰富的城镇，应重点发展旅游服务，协调好旅游发展与文化资源保护的关系。</w:t>
      </w:r>
      <w:r>
        <w:rPr>
          <w:rFonts w:eastAsia="仿宋_GB2312"/>
          <w:sz w:val="32"/>
          <w:szCs w:val="32"/>
        </w:rPr>
        <w:t>呼包鄂乌一体化发展区域</w:t>
      </w:r>
      <w:r>
        <w:rPr>
          <w:rFonts w:eastAsia="仿宋_GB2312"/>
          <w:kern w:val="0"/>
          <w:sz w:val="32"/>
          <w:szCs w:val="32"/>
        </w:rPr>
        <w:t>、中心城市周边的开发区，应加速产业聚集，实现集约化发展，推动开发区产业升级和城市服务配套完善，打造产城综合体。靠近小城镇的开发区，应强化开发区与中心城镇和小城市的互动发展，以产业为保障，推动人口集聚和完善服务配套，提升城镇品质。</w:t>
      </w:r>
    </w:p>
    <w:p w14:paraId="2F3A5529">
      <w:pPr>
        <w:pStyle w:val="3"/>
        <w:spacing w:before="156" w:beforeLines="50" w:after="156" w:afterLines="50" w:line="600" w:lineRule="exact"/>
        <w:rPr>
          <w:rFonts w:ascii="Times New Roman" w:hAnsi="Times New Roman"/>
          <w:b w:val="0"/>
          <w:bCs w:val="0"/>
        </w:rPr>
      </w:pPr>
      <w:bookmarkStart w:id="179" w:name="_Toc155861067"/>
      <w:bookmarkStart w:id="180" w:name="_Toc160715645"/>
      <w:r>
        <w:rPr>
          <w:rFonts w:ascii="Times New Roman" w:hAnsi="Times New Roman"/>
          <w:b w:val="0"/>
          <w:bCs w:val="0"/>
        </w:rPr>
        <w:t>第三节 提升城镇空间品质</w:t>
      </w:r>
      <w:bookmarkEnd w:id="179"/>
      <w:bookmarkEnd w:id="180"/>
    </w:p>
    <w:p w14:paraId="46CDCBA6">
      <w:pPr>
        <w:spacing w:line="600" w:lineRule="exact"/>
        <w:ind w:firstLine="640" w:firstLineChars="200"/>
        <w:rPr>
          <w:rFonts w:eastAsia="仿宋_GB2312"/>
          <w:kern w:val="0"/>
          <w:sz w:val="32"/>
          <w:szCs w:val="32"/>
        </w:rPr>
      </w:pPr>
      <w:r>
        <w:rPr>
          <w:rFonts w:eastAsia="楷体_GB2312"/>
          <w:bCs/>
          <w:kern w:val="0"/>
          <w:sz w:val="32"/>
          <w:szCs w:val="32"/>
        </w:rPr>
        <w:t>构建多层次城乡生活圈。</w:t>
      </w:r>
      <w:r>
        <w:rPr>
          <w:rFonts w:eastAsia="仿宋_GB2312"/>
          <w:kern w:val="0"/>
          <w:sz w:val="32"/>
          <w:szCs w:val="32"/>
        </w:rPr>
        <w:t>积极引导基本公共服务设施区域多中心组团式均衡空间布局，建立与常住人口挂钩的公共服务资源配置机制，有效保障教育、医疗、文化、体育、养老、殡葬、托幼、社区商业、邮政快递等公共服务空间需求，强化区域土地资源协同配置，推动公共服务城乡一体化布局。</w:t>
      </w:r>
    </w:p>
    <w:p w14:paraId="3A664CBE">
      <w:pPr>
        <w:spacing w:line="600" w:lineRule="exact"/>
        <w:ind w:firstLine="640" w:firstLineChars="200"/>
        <w:rPr>
          <w:rFonts w:eastAsia="仿宋_GB2312"/>
          <w:kern w:val="0"/>
          <w:sz w:val="32"/>
          <w:szCs w:val="32"/>
        </w:rPr>
      </w:pPr>
      <w:r>
        <w:rPr>
          <w:rFonts w:eastAsia="楷体_GB2312"/>
          <w:bCs/>
          <w:kern w:val="0"/>
          <w:sz w:val="32"/>
          <w:szCs w:val="32"/>
        </w:rPr>
        <w:t>分区分类优化公共服务设施配置</w:t>
      </w:r>
      <w:r>
        <w:rPr>
          <w:rFonts w:eastAsia="仿宋_GB2312"/>
          <w:kern w:val="0"/>
          <w:sz w:val="32"/>
          <w:szCs w:val="32"/>
        </w:rPr>
        <w:t>。加强呼包鄂乌一体化发展区域草原文化交流平台和高教科研中心、体育中心等高能级公共服务设施空间配置统筹，推动赤峰</w:t>
      </w:r>
      <w:r>
        <w:rPr>
          <w:rFonts w:hint="eastAsia" w:eastAsia="仿宋_GB2312"/>
          <w:kern w:val="0"/>
          <w:sz w:val="32"/>
          <w:szCs w:val="32"/>
        </w:rPr>
        <w:t>市</w:t>
      </w:r>
      <w:r>
        <w:rPr>
          <w:rFonts w:eastAsia="仿宋_GB2312"/>
          <w:kern w:val="0"/>
          <w:sz w:val="32"/>
          <w:szCs w:val="32"/>
        </w:rPr>
        <w:t>、通辽</w:t>
      </w:r>
      <w:r>
        <w:rPr>
          <w:rFonts w:hint="eastAsia" w:eastAsia="仿宋_GB2312"/>
          <w:kern w:val="0"/>
          <w:sz w:val="32"/>
          <w:szCs w:val="32"/>
        </w:rPr>
        <w:t>市</w:t>
      </w:r>
      <w:r>
        <w:rPr>
          <w:rFonts w:eastAsia="仿宋_GB2312"/>
          <w:kern w:val="0"/>
          <w:sz w:val="32"/>
          <w:szCs w:val="32"/>
        </w:rPr>
        <w:t>区域性中心城市公共服务承载能力提升，优化区域化医疗中心布局，扩大优势教育资源覆盖面。</w:t>
      </w:r>
    </w:p>
    <w:p w14:paraId="3D238937">
      <w:pPr>
        <w:spacing w:line="600" w:lineRule="exact"/>
        <w:ind w:firstLine="640" w:firstLineChars="200"/>
        <w:rPr>
          <w:rFonts w:eastAsia="仿宋_GB2312"/>
          <w:kern w:val="0"/>
          <w:sz w:val="32"/>
          <w:szCs w:val="32"/>
        </w:rPr>
      </w:pPr>
      <w:r>
        <w:rPr>
          <w:rFonts w:eastAsia="楷体_GB2312"/>
          <w:bCs/>
          <w:kern w:val="0"/>
          <w:sz w:val="32"/>
          <w:szCs w:val="32"/>
        </w:rPr>
        <w:t>合理配置县域公共服务设施。</w:t>
      </w:r>
      <w:r>
        <w:rPr>
          <w:rFonts w:eastAsia="仿宋_GB2312"/>
          <w:kern w:val="0"/>
          <w:sz w:val="32"/>
          <w:szCs w:val="32"/>
        </w:rPr>
        <w:t>支撑县域城镇加快推进城乡基本公共服务均等化，加强养老托育、文旅体育、社会福利和社区综合服务设施等用地供给，在精神卫生服务不足的地区，完善精神服务设施配置。</w:t>
      </w:r>
    </w:p>
    <w:p w14:paraId="227E8FC7">
      <w:pPr>
        <w:pStyle w:val="3"/>
        <w:spacing w:before="156" w:beforeLines="50" w:after="156" w:afterLines="50" w:line="600" w:lineRule="exact"/>
        <w:rPr>
          <w:rFonts w:ascii="Times New Roman" w:hAnsi="Times New Roman"/>
          <w:b w:val="0"/>
          <w:bCs w:val="0"/>
        </w:rPr>
      </w:pPr>
      <w:bookmarkStart w:id="181" w:name="_Toc160715646"/>
      <w:bookmarkStart w:id="182" w:name="_Toc155861068"/>
      <w:r>
        <w:rPr>
          <w:rFonts w:ascii="Times New Roman" w:hAnsi="Times New Roman"/>
          <w:b w:val="0"/>
          <w:bCs w:val="0"/>
        </w:rPr>
        <w:t>第四节 增强城镇空间安全韧性</w:t>
      </w:r>
      <w:bookmarkEnd w:id="181"/>
      <w:bookmarkEnd w:id="182"/>
    </w:p>
    <w:p w14:paraId="706EC06A">
      <w:pPr>
        <w:spacing w:line="600" w:lineRule="exact"/>
        <w:ind w:firstLine="643"/>
        <w:rPr>
          <w:rFonts w:eastAsia="仿宋_GB2312"/>
          <w:kern w:val="0"/>
          <w:sz w:val="32"/>
          <w:szCs w:val="32"/>
        </w:rPr>
      </w:pPr>
      <w:r>
        <w:rPr>
          <w:rFonts w:eastAsia="楷体_GB2312"/>
          <w:bCs/>
          <w:kern w:val="0"/>
          <w:sz w:val="32"/>
          <w:szCs w:val="32"/>
        </w:rPr>
        <w:t>增强城镇防灾减灾能力</w:t>
      </w:r>
      <w:r>
        <w:rPr>
          <w:rFonts w:eastAsia="仿宋_GB2312"/>
          <w:kern w:val="0"/>
          <w:sz w:val="32"/>
          <w:szCs w:val="32"/>
        </w:rPr>
        <w:t>。明确地震、地质</w:t>
      </w:r>
      <w:r>
        <w:rPr>
          <w:rFonts w:hint="eastAsia" w:eastAsia="仿宋_GB2312"/>
          <w:kern w:val="0"/>
          <w:sz w:val="32"/>
          <w:szCs w:val="32"/>
        </w:rPr>
        <w:t>灾害</w:t>
      </w:r>
      <w:r>
        <w:rPr>
          <w:rFonts w:eastAsia="仿宋_GB2312"/>
          <w:kern w:val="0"/>
          <w:sz w:val="32"/>
          <w:szCs w:val="32"/>
        </w:rPr>
        <w:t>、洪涝等自然灾害综合风险重点防控区域，</w:t>
      </w:r>
      <w:r>
        <w:rPr>
          <w:rFonts w:hint="eastAsia" w:eastAsia="仿宋_GB2312"/>
          <w:kern w:val="0"/>
          <w:sz w:val="32"/>
          <w:szCs w:val="32"/>
        </w:rPr>
        <w:t>强化</w:t>
      </w:r>
      <w:r>
        <w:rPr>
          <w:rFonts w:eastAsia="仿宋_GB2312"/>
          <w:kern w:val="0"/>
          <w:sz w:val="32"/>
          <w:szCs w:val="32"/>
        </w:rPr>
        <w:t>安全基础设施建设，设定化工类开发区</w:t>
      </w:r>
      <w:r>
        <w:rPr>
          <w:rFonts w:hint="eastAsia" w:eastAsia="仿宋_GB2312"/>
          <w:kern w:val="0"/>
          <w:sz w:val="32"/>
          <w:szCs w:val="32"/>
        </w:rPr>
        <w:t>，</w:t>
      </w:r>
      <w:r>
        <w:rPr>
          <w:rFonts w:eastAsia="仿宋_GB2312"/>
          <w:kern w:val="0"/>
          <w:sz w:val="32"/>
          <w:szCs w:val="32"/>
        </w:rPr>
        <w:t>危险化学品重大危险源安全防护距离，加强区域型网络化分布的公共卫生等应急设施、防灾减灾救灾设施和救援设施体系建设用地保障。布局完善防灾救灾疏散通道系统，协同铁路、航空、公路和城市干道，预留区域及城市疏散救援通道，增强安全保障能力，统筹区域应急避难场所区域布局，提升突发事件应急交通运输保障能力。</w:t>
      </w:r>
    </w:p>
    <w:p w14:paraId="15F5137C">
      <w:pPr>
        <w:spacing w:line="600" w:lineRule="exact"/>
        <w:ind w:firstLine="643"/>
        <w:rPr>
          <w:rFonts w:eastAsia="仿宋_GB2312"/>
          <w:kern w:val="0"/>
          <w:sz w:val="32"/>
          <w:szCs w:val="32"/>
        </w:rPr>
      </w:pPr>
      <w:r>
        <w:rPr>
          <w:rFonts w:eastAsia="楷体_GB2312"/>
          <w:bCs/>
          <w:kern w:val="0"/>
          <w:sz w:val="32"/>
          <w:szCs w:val="32"/>
        </w:rPr>
        <w:t>完善防洪排涝能力。</w:t>
      </w:r>
      <w:r>
        <w:rPr>
          <w:rFonts w:eastAsia="仿宋_GB2312"/>
          <w:kern w:val="0"/>
          <w:sz w:val="32"/>
          <w:szCs w:val="32"/>
        </w:rPr>
        <w:t>协调区域和城市防洪排涝排水功能空间，统筹流域干支流、上下游、左右岸防洪和城市地区排涝等需求，划定洪涝风险控制线，提升城市防洪排涝能力，增强城市和区域的调蓄空间管控。恢复、预留自然河湖水系行洪空间，</w:t>
      </w:r>
      <w:r>
        <w:rPr>
          <w:rFonts w:hint="eastAsia" w:eastAsia="仿宋_GB2312"/>
          <w:kern w:val="0"/>
          <w:sz w:val="32"/>
          <w:szCs w:val="32"/>
        </w:rPr>
        <w:t>优化</w:t>
      </w:r>
      <w:r>
        <w:rPr>
          <w:rFonts w:eastAsia="仿宋_GB2312"/>
          <w:kern w:val="0"/>
          <w:sz w:val="32"/>
          <w:szCs w:val="32"/>
        </w:rPr>
        <w:t>城市和区域洪涝灾害风险防控设施布局。</w:t>
      </w:r>
    </w:p>
    <w:p w14:paraId="4CC83EA9">
      <w:pPr>
        <w:spacing w:line="600" w:lineRule="exact"/>
        <w:ind w:firstLine="643"/>
        <w:rPr>
          <w:rFonts w:eastAsia="仿宋_GB2312"/>
          <w:kern w:val="0"/>
          <w:sz w:val="32"/>
          <w:szCs w:val="32"/>
        </w:rPr>
      </w:pPr>
      <w:r>
        <w:rPr>
          <w:rFonts w:eastAsia="楷体_GB2312"/>
          <w:bCs/>
          <w:kern w:val="0"/>
          <w:sz w:val="32"/>
          <w:szCs w:val="32"/>
        </w:rPr>
        <w:t>统筹应急应战储备保障空间。</w:t>
      </w:r>
      <w:r>
        <w:rPr>
          <w:rFonts w:eastAsia="仿宋_GB2312"/>
          <w:kern w:val="0"/>
          <w:sz w:val="32"/>
          <w:szCs w:val="32"/>
        </w:rPr>
        <w:t>加强军事、国防等国家安全基础设施建设用地需求保障，合理布设人民防空等地下空间开发利用区域，为建设互联互通、平战结合、更具韧性的网络型防护空间体系夯实基础。</w:t>
      </w:r>
    </w:p>
    <w:p w14:paraId="019C450F">
      <w:pPr>
        <w:pStyle w:val="3"/>
        <w:spacing w:before="156" w:beforeLines="50" w:after="156" w:afterLines="50" w:line="600" w:lineRule="exact"/>
        <w:rPr>
          <w:rFonts w:ascii="Times New Roman" w:hAnsi="Times New Roman"/>
          <w:b w:val="0"/>
          <w:bCs w:val="0"/>
        </w:rPr>
      </w:pPr>
      <w:bookmarkStart w:id="183" w:name="_Toc58510778"/>
      <w:bookmarkStart w:id="184" w:name="_Toc160715647"/>
      <w:bookmarkStart w:id="185" w:name="_Toc155861069"/>
      <w:r>
        <w:rPr>
          <w:rFonts w:ascii="Times New Roman" w:hAnsi="Times New Roman"/>
          <w:b w:val="0"/>
          <w:bCs w:val="0"/>
        </w:rPr>
        <w:t>第五节 强化城镇空间管控</w:t>
      </w:r>
      <w:bookmarkEnd w:id="183"/>
      <w:bookmarkEnd w:id="184"/>
      <w:bookmarkEnd w:id="185"/>
    </w:p>
    <w:p w14:paraId="57E4F41D">
      <w:pPr>
        <w:spacing w:line="600" w:lineRule="exact"/>
        <w:ind w:firstLine="640" w:firstLineChars="200"/>
        <w:rPr>
          <w:rFonts w:eastAsia="仿宋_GB2312"/>
          <w:kern w:val="0"/>
          <w:sz w:val="32"/>
          <w:szCs w:val="32"/>
        </w:rPr>
      </w:pPr>
      <w:r>
        <w:rPr>
          <w:rFonts w:eastAsia="楷体_GB2312"/>
          <w:bCs/>
          <w:kern w:val="0"/>
          <w:sz w:val="32"/>
          <w:szCs w:val="32"/>
        </w:rPr>
        <w:t>完善边界内分区管制。</w:t>
      </w:r>
      <w:r>
        <w:rPr>
          <w:rFonts w:eastAsia="仿宋_GB2312"/>
          <w:kern w:val="0"/>
          <w:sz w:val="32"/>
          <w:szCs w:val="32"/>
        </w:rPr>
        <w:t>城镇开发边界内包括城镇集中建设区、城镇弹性发展区和特别用途区，实行</w:t>
      </w:r>
      <w:r>
        <w:rPr>
          <w:rFonts w:hint="eastAsia" w:eastAsia="仿宋_GB2312"/>
          <w:kern w:val="0"/>
          <w:sz w:val="32"/>
          <w:szCs w:val="32"/>
        </w:rPr>
        <w:t>“</w:t>
      </w:r>
      <w:r>
        <w:rPr>
          <w:rFonts w:eastAsia="仿宋_GB2312"/>
          <w:kern w:val="0"/>
          <w:sz w:val="32"/>
          <w:szCs w:val="32"/>
        </w:rPr>
        <w:t>详细规划+规划许可</w:t>
      </w:r>
      <w:r>
        <w:rPr>
          <w:rFonts w:hint="eastAsia" w:eastAsia="仿宋_GB2312"/>
          <w:kern w:val="0"/>
          <w:sz w:val="32"/>
          <w:szCs w:val="32"/>
        </w:rPr>
        <w:t>”</w:t>
      </w:r>
      <w:r>
        <w:rPr>
          <w:rFonts w:eastAsia="仿宋_GB2312"/>
          <w:kern w:val="0"/>
          <w:sz w:val="32"/>
          <w:szCs w:val="32"/>
        </w:rPr>
        <w:t>的管制方式。</w:t>
      </w:r>
    </w:p>
    <w:p w14:paraId="7331DF05">
      <w:pPr>
        <w:spacing w:line="600" w:lineRule="exact"/>
        <w:ind w:firstLine="640" w:firstLineChars="200"/>
        <w:rPr>
          <w:rFonts w:eastAsia="仿宋_GB2312"/>
          <w:kern w:val="0"/>
          <w:sz w:val="32"/>
          <w:szCs w:val="32"/>
        </w:rPr>
      </w:pPr>
      <w:r>
        <w:rPr>
          <w:rFonts w:eastAsia="仿宋_GB2312"/>
          <w:kern w:val="0"/>
          <w:sz w:val="32"/>
          <w:szCs w:val="32"/>
        </w:rPr>
        <w:t>城镇集中建设区。主要用于布局城市、建制镇和新区、开发区等各类城镇集中建设，要加强城市绿线、蓝线、黄线、紫线等控制性要素管控。</w:t>
      </w:r>
    </w:p>
    <w:p w14:paraId="1E20B9DD">
      <w:pPr>
        <w:spacing w:line="600" w:lineRule="exact"/>
        <w:ind w:firstLine="640" w:firstLineChars="200"/>
        <w:rPr>
          <w:rFonts w:eastAsia="仿宋_GB2312"/>
          <w:kern w:val="0"/>
          <w:sz w:val="32"/>
          <w:szCs w:val="32"/>
        </w:rPr>
      </w:pPr>
      <w:r>
        <w:rPr>
          <w:rFonts w:eastAsia="仿宋_GB2312"/>
          <w:kern w:val="0"/>
          <w:sz w:val="32"/>
          <w:szCs w:val="32"/>
        </w:rPr>
        <w:t>城镇弹性发展区。可在不突破规划城镇建设用地规模的前提下，对城镇建设用地布局进行适度调整。年度调整原则不超过一次。</w:t>
      </w:r>
    </w:p>
    <w:p w14:paraId="43F0ABB9">
      <w:pPr>
        <w:spacing w:line="600" w:lineRule="exact"/>
        <w:ind w:firstLine="640" w:firstLineChars="200"/>
        <w:rPr>
          <w:rFonts w:eastAsia="仿宋_GB2312"/>
          <w:kern w:val="0"/>
          <w:sz w:val="32"/>
          <w:szCs w:val="32"/>
        </w:rPr>
      </w:pPr>
      <w:r>
        <w:rPr>
          <w:rFonts w:eastAsia="仿宋_GB2312"/>
          <w:kern w:val="0"/>
          <w:sz w:val="32"/>
          <w:szCs w:val="32"/>
        </w:rPr>
        <w:t>特别用途区。原则上禁止任何城镇集中建设行为，实施建设用地总量控制，禁止随意进行城镇集中建设，除市政基础设施、交通物流基础设施、生态修复工程、必要的配套及游憩设施外，原则上不得新增其他城镇建设用地。涉及的山体、水体、保护地应分别纳入山体、水体、</w:t>
      </w:r>
      <w:r>
        <w:rPr>
          <w:rFonts w:hint="eastAsia" w:eastAsia="仿宋_GB2312"/>
          <w:kern w:val="0"/>
          <w:sz w:val="32"/>
          <w:szCs w:val="32"/>
        </w:rPr>
        <w:t>自然保护区名录</w:t>
      </w:r>
      <w:r>
        <w:rPr>
          <w:rFonts w:eastAsia="仿宋_GB2312"/>
          <w:kern w:val="0"/>
          <w:sz w:val="32"/>
          <w:szCs w:val="32"/>
        </w:rPr>
        <w:t>进行专项管理。在对生态、人文环境不产生破坏的前提下，可适度开展休闲、科研、教育等相关活动，为城镇居民提供生态、人文景观服务。</w:t>
      </w:r>
    </w:p>
    <w:p w14:paraId="1D80C05C">
      <w:pPr>
        <w:spacing w:after="156" w:afterLines="50" w:line="600" w:lineRule="exact"/>
        <w:ind w:firstLine="640" w:firstLineChars="200"/>
        <w:rPr>
          <w:rFonts w:eastAsia="仿宋_GB2312"/>
          <w:kern w:val="0"/>
          <w:sz w:val="32"/>
          <w:szCs w:val="32"/>
        </w:rPr>
      </w:pPr>
      <w:r>
        <w:rPr>
          <w:rFonts w:eastAsia="楷体_GB2312"/>
          <w:bCs/>
          <w:kern w:val="0"/>
          <w:sz w:val="32"/>
          <w:szCs w:val="32"/>
        </w:rPr>
        <w:t>实行开发边界刚性约束与弹性管理。</w:t>
      </w:r>
      <w:r>
        <w:rPr>
          <w:rFonts w:eastAsia="仿宋_GB2312"/>
          <w:kern w:val="0"/>
          <w:sz w:val="32"/>
          <w:szCs w:val="32"/>
        </w:rPr>
        <w:t>严格实行建设用地总量与强度双控，强化城镇开发边界对开发建设行为的刚性约束作用，同时考虑城镇未来发展的不确定性，适当增加布局弹性，科学预留一定比例的留白区，为</w:t>
      </w:r>
      <w:r>
        <w:rPr>
          <w:rFonts w:hint="eastAsia" w:eastAsia="仿宋_GB2312"/>
          <w:kern w:val="0"/>
          <w:sz w:val="32"/>
          <w:szCs w:val="32"/>
        </w:rPr>
        <w:t>长远发展谋划预留战略空间</w:t>
      </w:r>
      <w:r>
        <w:rPr>
          <w:rFonts w:eastAsia="仿宋_GB2312"/>
          <w:kern w:val="0"/>
          <w:sz w:val="32"/>
          <w:szCs w:val="32"/>
        </w:rPr>
        <w:t>，增加城市发展弹性。城市化地区着重保障城镇和经济发展，满足人口集聚增长需要。</w:t>
      </w:r>
    </w:p>
    <w:p w14:paraId="2528A788">
      <w:pPr>
        <w:spacing w:line="600" w:lineRule="exact"/>
        <w:ind w:firstLine="640" w:firstLineChars="200"/>
        <w:rPr>
          <w:rFonts w:eastAsia="仿宋_GB2312"/>
          <w:kern w:val="0"/>
          <w:sz w:val="32"/>
          <w:szCs w:val="32"/>
        </w:rPr>
      </w:pPr>
      <w:bookmarkStart w:id="186" w:name="_Toc62487001"/>
      <w:bookmarkStart w:id="187" w:name="_Toc28162759"/>
      <w:bookmarkStart w:id="188" w:name="_Toc43113684"/>
      <w:bookmarkStart w:id="189" w:name="_Toc64379563"/>
      <w:bookmarkStart w:id="190" w:name="_Toc64379564"/>
      <w:bookmarkStart w:id="191" w:name="_Toc62487003"/>
      <w:bookmarkStart w:id="192" w:name="_Toc28162762"/>
      <w:bookmarkStart w:id="193" w:name="_Toc56842415"/>
      <w:bookmarkStart w:id="194" w:name="_Toc43113703"/>
      <w:bookmarkStart w:id="195" w:name="_Toc57469815"/>
      <w:r>
        <w:rPr>
          <w:rFonts w:eastAsia="楷体_GB2312"/>
          <w:bCs/>
          <w:kern w:val="0"/>
          <w:sz w:val="32"/>
          <w:szCs w:val="32"/>
        </w:rPr>
        <w:t>加强地下与地上空间资源统筹管理。</w:t>
      </w:r>
      <w:r>
        <w:rPr>
          <w:rFonts w:eastAsia="仿宋_GB2312"/>
          <w:kern w:val="0"/>
          <w:sz w:val="32"/>
          <w:szCs w:val="32"/>
        </w:rPr>
        <w:t>分层有序利用地下空间，促进地下地上空间资源的综合开发。结合地下空间资源，统筹优化人防设施布局，形成平战结合的城市地下防护空间体系。严格地下空间资源管理，划定重点地下空间管控区域。严禁在文物保护单位、大遗址等区域开展地下空间开发利用。</w:t>
      </w:r>
    </w:p>
    <w:p w14:paraId="09089B84">
      <w:pPr>
        <w:spacing w:after="312" w:afterLines="100"/>
        <w:jc w:val="center"/>
        <w:outlineLvl w:val="0"/>
        <w:rPr>
          <w:rFonts w:hint="eastAsia" w:ascii="方正小标宋简体" w:eastAsia="方正小标宋简体"/>
          <w:sz w:val="36"/>
          <w:szCs w:val="32"/>
        </w:rPr>
      </w:pPr>
      <w:r>
        <w:rPr>
          <w:rFonts w:eastAsia="方正小标宋_GBK"/>
          <w:sz w:val="36"/>
          <w:szCs w:val="32"/>
        </w:rPr>
        <w:br w:type="page"/>
      </w:r>
      <w:bookmarkStart w:id="196" w:name="_Toc155861070"/>
      <w:bookmarkStart w:id="197" w:name="_Toc160715648"/>
      <w:r>
        <w:rPr>
          <w:rFonts w:hint="eastAsia" w:ascii="方正小标宋简体" w:eastAsia="方正小标宋简体"/>
          <w:sz w:val="36"/>
          <w:szCs w:val="32"/>
        </w:rPr>
        <w:t>第七章 厚植开放共享魅力国土</w:t>
      </w:r>
      <w:bookmarkEnd w:id="186"/>
      <w:bookmarkEnd w:id="187"/>
      <w:bookmarkEnd w:id="188"/>
      <w:bookmarkEnd w:id="189"/>
      <w:bookmarkEnd w:id="196"/>
      <w:bookmarkEnd w:id="197"/>
    </w:p>
    <w:p w14:paraId="6E9B0DCB">
      <w:pPr>
        <w:spacing w:line="600" w:lineRule="exact"/>
        <w:ind w:firstLine="640"/>
        <w:rPr>
          <w:rFonts w:eastAsia="仿宋_GB2312"/>
          <w:kern w:val="0"/>
          <w:sz w:val="32"/>
          <w:szCs w:val="32"/>
        </w:rPr>
      </w:pPr>
      <w:r>
        <w:rPr>
          <w:rFonts w:eastAsia="仿宋_GB2312"/>
          <w:kern w:val="0"/>
          <w:sz w:val="32"/>
          <w:szCs w:val="32"/>
        </w:rPr>
        <w:t>开放的草原文化、浓郁的民族风情、壮美的自然风光、广阔的地域空间、独特的生态环境，构筑了内蒙古</w:t>
      </w:r>
      <w:r>
        <w:rPr>
          <w:rFonts w:hint="eastAsia" w:eastAsia="仿宋_GB2312"/>
          <w:kern w:val="0"/>
          <w:sz w:val="32"/>
          <w:szCs w:val="32"/>
        </w:rPr>
        <w:t>自治区</w:t>
      </w:r>
      <w:r>
        <w:rPr>
          <w:rFonts w:eastAsia="仿宋_GB2312"/>
          <w:kern w:val="0"/>
          <w:sz w:val="32"/>
          <w:szCs w:val="32"/>
        </w:rPr>
        <w:t>开放共享魅力国土的坚实基础。根据国家和自治区切实保护生态环境和科学合理开发利用国土空间的发展战略，</w:t>
      </w:r>
      <w:r>
        <w:rPr>
          <w:rFonts w:hint="eastAsia" w:eastAsia="仿宋_GB2312"/>
          <w:kern w:val="0"/>
          <w:sz w:val="32"/>
          <w:szCs w:val="32"/>
        </w:rPr>
        <w:t>满足</w:t>
      </w:r>
      <w:r>
        <w:rPr>
          <w:rFonts w:eastAsia="仿宋_GB2312"/>
          <w:kern w:val="0"/>
          <w:sz w:val="32"/>
          <w:szCs w:val="32"/>
        </w:rPr>
        <w:t>人民日益增长的美好生活需要，坚持以人民为中心，全方位推进历史文化传承、风貌保护和景观营造，加快推进高品质魅力国土建设，打造祖国北疆亮丽风景线。</w:t>
      </w:r>
    </w:p>
    <w:p w14:paraId="10755F88">
      <w:pPr>
        <w:pStyle w:val="3"/>
        <w:spacing w:before="156" w:beforeLines="50" w:after="156" w:afterLines="50" w:line="600" w:lineRule="exact"/>
        <w:rPr>
          <w:rFonts w:ascii="Times New Roman" w:hAnsi="Times New Roman"/>
          <w:b w:val="0"/>
          <w:bCs w:val="0"/>
        </w:rPr>
      </w:pPr>
      <w:bookmarkStart w:id="198" w:name="_Toc160715649"/>
      <w:bookmarkStart w:id="199" w:name="_Toc155861071"/>
      <w:r>
        <w:rPr>
          <w:rFonts w:ascii="Times New Roman" w:hAnsi="Times New Roman"/>
          <w:b w:val="0"/>
          <w:bCs w:val="0"/>
        </w:rPr>
        <w:t>第一节 保护传承历史文化</w:t>
      </w:r>
      <w:bookmarkEnd w:id="190"/>
      <w:bookmarkEnd w:id="191"/>
      <w:bookmarkEnd w:id="198"/>
      <w:bookmarkEnd w:id="199"/>
    </w:p>
    <w:p w14:paraId="0FA10AD5">
      <w:pPr>
        <w:spacing w:line="600" w:lineRule="exact"/>
        <w:ind w:firstLine="643"/>
        <w:rPr>
          <w:rFonts w:eastAsia="仿宋_GB2312"/>
          <w:kern w:val="0"/>
          <w:sz w:val="32"/>
          <w:szCs w:val="32"/>
        </w:rPr>
      </w:pPr>
      <w:r>
        <w:rPr>
          <w:rFonts w:eastAsia="楷体_GB2312"/>
          <w:bCs/>
          <w:kern w:val="0"/>
          <w:sz w:val="32"/>
          <w:szCs w:val="32"/>
        </w:rPr>
        <w:t>支撑构建遗产保护空间体系。</w:t>
      </w:r>
      <w:r>
        <w:rPr>
          <w:rFonts w:eastAsia="仿宋_GB2312"/>
          <w:kern w:val="0"/>
          <w:sz w:val="32"/>
          <w:szCs w:val="32"/>
        </w:rPr>
        <w:t>贯彻</w:t>
      </w:r>
      <w:r>
        <w:rPr>
          <w:rFonts w:hint="eastAsia" w:eastAsia="仿宋_GB2312"/>
          <w:kern w:val="0"/>
          <w:sz w:val="32"/>
          <w:szCs w:val="32"/>
        </w:rPr>
        <w:t>“</w:t>
      </w:r>
      <w:r>
        <w:rPr>
          <w:rFonts w:eastAsia="仿宋_GB2312"/>
          <w:kern w:val="0"/>
          <w:sz w:val="32"/>
          <w:szCs w:val="32"/>
        </w:rPr>
        <w:t>保护第一，加强管理，挖掘价值，有效利用，让文物活起来</w:t>
      </w:r>
      <w:r>
        <w:rPr>
          <w:rFonts w:hint="eastAsia" w:eastAsia="仿宋_GB2312"/>
          <w:kern w:val="0"/>
          <w:sz w:val="32"/>
          <w:szCs w:val="32"/>
        </w:rPr>
        <w:t>”</w:t>
      </w:r>
      <w:r>
        <w:rPr>
          <w:rFonts w:eastAsia="仿宋_GB2312"/>
          <w:kern w:val="0"/>
          <w:sz w:val="32"/>
          <w:szCs w:val="32"/>
        </w:rPr>
        <w:t>的方针，以历史文化保护为核心，落实各类历史文化保护空间范围和管控要求，将历史文化名城名镇名村</w:t>
      </w:r>
      <w:r>
        <w:rPr>
          <w:rFonts w:hint="eastAsia" w:eastAsia="仿宋_GB2312"/>
          <w:kern w:val="0"/>
          <w:sz w:val="32"/>
          <w:szCs w:val="32"/>
        </w:rPr>
        <w:t>街区</w:t>
      </w:r>
      <w:r>
        <w:rPr>
          <w:rFonts w:eastAsia="仿宋_GB2312"/>
          <w:kern w:val="0"/>
          <w:sz w:val="32"/>
          <w:szCs w:val="32"/>
        </w:rPr>
        <w:t>、传统村落</w:t>
      </w:r>
      <w:r>
        <w:rPr>
          <w:rFonts w:hint="eastAsia" w:eastAsia="仿宋_GB2312"/>
          <w:kern w:val="0"/>
          <w:sz w:val="32"/>
          <w:szCs w:val="32"/>
        </w:rPr>
        <w:t>的</w:t>
      </w:r>
      <w:r>
        <w:rPr>
          <w:rFonts w:eastAsia="仿宋_GB2312"/>
          <w:kern w:val="0"/>
          <w:sz w:val="32"/>
          <w:szCs w:val="32"/>
        </w:rPr>
        <w:t>保护范围纳入历史文化保护线，梳理历史文化遗产保护名录，整体系统保护各级文物保护单位</w:t>
      </w:r>
      <w:r>
        <w:rPr>
          <w:rFonts w:hint="eastAsia" w:eastAsia="仿宋_GB2312"/>
          <w:kern w:val="0"/>
          <w:sz w:val="32"/>
          <w:szCs w:val="32"/>
        </w:rPr>
        <w:t>。</w:t>
      </w:r>
      <w:r>
        <w:rPr>
          <w:rFonts w:eastAsia="仿宋_GB2312"/>
          <w:kern w:val="0"/>
          <w:sz w:val="32"/>
          <w:szCs w:val="32"/>
        </w:rPr>
        <w:t>尚未核定公布为文物保护单位的不可移动文物、地下文物埋藏区、历史文化名城名镇名村</w:t>
      </w:r>
      <w:r>
        <w:rPr>
          <w:rFonts w:hint="eastAsia" w:eastAsia="仿宋_GB2312"/>
          <w:kern w:val="0"/>
          <w:sz w:val="32"/>
          <w:szCs w:val="32"/>
        </w:rPr>
        <w:t>街区</w:t>
      </w:r>
      <w:r>
        <w:rPr>
          <w:rFonts w:eastAsia="仿宋_GB2312"/>
          <w:kern w:val="0"/>
          <w:sz w:val="32"/>
          <w:szCs w:val="32"/>
        </w:rPr>
        <w:t>和历史建筑等各类文化遗产，夯实遗产保护的空间基础。</w:t>
      </w:r>
      <w:r>
        <w:rPr>
          <w:rFonts w:eastAsia="仿宋_GB2312"/>
          <w:sz w:val="32"/>
          <w:szCs w:val="32"/>
        </w:rPr>
        <w:t>在</w:t>
      </w:r>
      <w:r>
        <w:rPr>
          <w:rFonts w:hint="eastAsia" w:eastAsia="仿宋_GB2312"/>
          <w:sz w:val="32"/>
          <w:szCs w:val="32"/>
        </w:rPr>
        <w:t>盟</w:t>
      </w:r>
      <w:r>
        <w:rPr>
          <w:rFonts w:eastAsia="仿宋_GB2312"/>
          <w:sz w:val="32"/>
          <w:szCs w:val="32"/>
        </w:rPr>
        <w:t>市、</w:t>
      </w:r>
      <w:r>
        <w:rPr>
          <w:rFonts w:hint="eastAsia" w:eastAsia="仿宋_GB2312"/>
          <w:sz w:val="32"/>
          <w:szCs w:val="32"/>
        </w:rPr>
        <w:t>旗县（市、区）</w:t>
      </w:r>
      <w:r>
        <w:rPr>
          <w:rFonts w:eastAsia="仿宋_GB2312"/>
          <w:sz w:val="32"/>
          <w:szCs w:val="32"/>
        </w:rPr>
        <w:t>、乡镇</w:t>
      </w:r>
      <w:r>
        <w:rPr>
          <w:rFonts w:hint="eastAsia" w:eastAsia="仿宋_GB2312"/>
          <w:sz w:val="32"/>
          <w:szCs w:val="32"/>
        </w:rPr>
        <w:t>（苏木）</w:t>
      </w:r>
      <w:r>
        <w:rPr>
          <w:rFonts w:eastAsia="仿宋_GB2312"/>
          <w:sz w:val="32"/>
          <w:szCs w:val="32"/>
        </w:rPr>
        <w:t>国土空间总体规划中落实包括文物保护单位</w:t>
      </w:r>
      <w:r>
        <w:rPr>
          <w:rFonts w:hint="eastAsia" w:eastAsia="仿宋_GB2312"/>
          <w:sz w:val="32"/>
          <w:szCs w:val="32"/>
        </w:rPr>
        <w:t>的</w:t>
      </w:r>
      <w:r>
        <w:rPr>
          <w:rFonts w:eastAsia="仿宋_GB2312"/>
          <w:sz w:val="32"/>
          <w:szCs w:val="32"/>
        </w:rPr>
        <w:t>保护范围和建设控制地带、水下文物保护区、地下文物埋藏区、城市紫线等在内的历史文化保护范围</w:t>
      </w:r>
      <w:r>
        <w:rPr>
          <w:rFonts w:eastAsia="仿宋_GB2312"/>
          <w:kern w:val="0"/>
          <w:sz w:val="32"/>
          <w:szCs w:val="32"/>
        </w:rPr>
        <w:t>，强化文化资源系统保护的空间管控，编制并实施不可移动文物保护空间专项规划</w:t>
      </w:r>
      <w:r>
        <w:rPr>
          <w:rFonts w:hint="eastAsia" w:eastAsia="仿宋_GB2312"/>
          <w:kern w:val="0"/>
          <w:sz w:val="32"/>
          <w:szCs w:val="32"/>
        </w:rPr>
        <w:t>并纳入国土空间</w:t>
      </w:r>
      <w:r>
        <w:rPr>
          <w:rFonts w:eastAsia="仿宋_GB2312"/>
          <w:kern w:val="0"/>
          <w:sz w:val="32"/>
          <w:szCs w:val="32"/>
        </w:rPr>
        <w:t>规划</w:t>
      </w:r>
      <w:r>
        <w:rPr>
          <w:rFonts w:hint="eastAsia" w:eastAsia="仿宋_GB2312"/>
          <w:kern w:val="0"/>
          <w:sz w:val="32"/>
          <w:szCs w:val="32"/>
        </w:rPr>
        <w:t>“</w:t>
      </w:r>
      <w:r>
        <w:rPr>
          <w:rFonts w:eastAsia="仿宋_GB2312"/>
          <w:kern w:val="0"/>
          <w:sz w:val="32"/>
          <w:szCs w:val="32"/>
        </w:rPr>
        <w:t>一张图</w:t>
      </w:r>
      <w:r>
        <w:rPr>
          <w:rFonts w:hint="eastAsia" w:eastAsia="仿宋_GB2312"/>
          <w:kern w:val="0"/>
          <w:sz w:val="32"/>
          <w:szCs w:val="32"/>
        </w:rPr>
        <w:t>”</w:t>
      </w:r>
      <w:r>
        <w:rPr>
          <w:rFonts w:eastAsia="仿宋_GB2312"/>
          <w:kern w:val="0"/>
          <w:sz w:val="32"/>
          <w:szCs w:val="32"/>
        </w:rPr>
        <w:t>监督</w:t>
      </w:r>
      <w:r>
        <w:rPr>
          <w:rFonts w:hint="eastAsia" w:eastAsia="仿宋_GB2312"/>
          <w:kern w:val="0"/>
          <w:sz w:val="32"/>
          <w:szCs w:val="32"/>
        </w:rPr>
        <w:t>实施</w:t>
      </w:r>
      <w:r>
        <w:rPr>
          <w:rFonts w:eastAsia="仿宋_GB2312"/>
          <w:kern w:val="0"/>
          <w:sz w:val="32"/>
          <w:szCs w:val="32"/>
        </w:rPr>
        <w:t>。针对历史文化资源富集、空间分布集中、反映特色人地关系的地域，划定文化景观特别保护区，明确整体保护和活化利用的空间管控要求，协调历史文化遗产周边风貌的保护与留存。发掘不可移动文物资源的多重价值，保障文物保护、利用、考古等合理空间需求。对需依法保护的历史文化遗存，开发建设前应开展建设影响评估。对历史文化保护线内可能存在历史文化遗存的土地，实行</w:t>
      </w:r>
      <w:r>
        <w:rPr>
          <w:rFonts w:hint="eastAsia" w:eastAsia="仿宋_GB2312"/>
          <w:kern w:val="0"/>
          <w:sz w:val="32"/>
          <w:szCs w:val="32"/>
        </w:rPr>
        <w:t>“</w:t>
      </w:r>
      <w:r>
        <w:rPr>
          <w:rFonts w:eastAsia="仿宋_GB2312"/>
          <w:kern w:val="0"/>
          <w:sz w:val="32"/>
          <w:szCs w:val="32"/>
        </w:rPr>
        <w:t>先考古、后出让</w:t>
      </w:r>
      <w:r>
        <w:rPr>
          <w:rFonts w:hint="eastAsia" w:eastAsia="仿宋_GB2312"/>
          <w:kern w:val="0"/>
          <w:sz w:val="32"/>
          <w:szCs w:val="32"/>
        </w:rPr>
        <w:t>”</w:t>
      </w:r>
      <w:r>
        <w:rPr>
          <w:rFonts w:eastAsia="仿宋_GB2312"/>
          <w:kern w:val="0"/>
          <w:sz w:val="32"/>
          <w:szCs w:val="32"/>
        </w:rPr>
        <w:t>制度。</w:t>
      </w:r>
    </w:p>
    <w:p w14:paraId="6E6487CC">
      <w:pPr>
        <w:spacing w:line="600" w:lineRule="exact"/>
        <w:ind w:firstLine="643"/>
        <w:rPr>
          <w:rFonts w:eastAsia="仿宋"/>
          <w:sz w:val="32"/>
          <w:szCs w:val="32"/>
        </w:rPr>
      </w:pPr>
      <w:r>
        <w:rPr>
          <w:rFonts w:eastAsia="楷体_GB2312"/>
          <w:bCs/>
          <w:kern w:val="0"/>
          <w:sz w:val="32"/>
          <w:szCs w:val="32"/>
        </w:rPr>
        <w:t>保障历史文化保护用地</w:t>
      </w:r>
      <w:r>
        <w:rPr>
          <w:rFonts w:hint="eastAsia" w:eastAsia="楷体_GB2312"/>
          <w:bCs/>
          <w:kern w:val="0"/>
          <w:sz w:val="32"/>
          <w:szCs w:val="32"/>
        </w:rPr>
        <w:t>需求</w:t>
      </w:r>
      <w:r>
        <w:rPr>
          <w:rFonts w:eastAsia="楷体_GB2312"/>
          <w:bCs/>
          <w:kern w:val="0"/>
          <w:sz w:val="32"/>
          <w:szCs w:val="32"/>
        </w:rPr>
        <w:t>。</w:t>
      </w:r>
      <w:r>
        <w:rPr>
          <w:rFonts w:eastAsia="仿宋_GB2312"/>
          <w:kern w:val="0"/>
          <w:sz w:val="32"/>
          <w:szCs w:val="32"/>
        </w:rPr>
        <w:t>推动辽代上京城和祖陵遗址群、红山文化遗址群、阴山岩刻遗址群、万里茶道（内蒙古段）申遗基础性工作，支持长城、黄河国家文化公园和大窑、辽上京、和林格尔土城子等国家考古遗址公园建设，加强阿尔寨石窟寺等不可移动文物古迹保护。保障内蒙古工业博物馆</w:t>
      </w:r>
      <w:r>
        <w:rPr>
          <w:rFonts w:hint="eastAsia" w:eastAsia="仿宋_GB2312"/>
          <w:kern w:val="0"/>
          <w:sz w:val="32"/>
          <w:szCs w:val="32"/>
        </w:rPr>
        <w:t>，</w:t>
      </w:r>
      <w:r>
        <w:rPr>
          <w:rFonts w:eastAsia="仿宋_GB2312"/>
          <w:kern w:val="0"/>
          <w:sz w:val="32"/>
          <w:szCs w:val="32"/>
        </w:rPr>
        <w:t>古长城文化、黄河文化等历史博物馆（院）以及农耕文化博物馆</w:t>
      </w:r>
      <w:r>
        <w:rPr>
          <w:rFonts w:hint="eastAsia" w:eastAsia="仿宋_GB2312"/>
          <w:kern w:val="0"/>
          <w:sz w:val="32"/>
          <w:szCs w:val="32"/>
        </w:rPr>
        <w:t>，</w:t>
      </w:r>
      <w:r>
        <w:rPr>
          <w:rFonts w:eastAsia="仿宋_GB2312"/>
          <w:kern w:val="0"/>
          <w:sz w:val="32"/>
          <w:szCs w:val="32"/>
        </w:rPr>
        <w:t>非遗文化展示博物馆</w:t>
      </w:r>
      <w:r>
        <w:rPr>
          <w:rFonts w:hint="eastAsia" w:eastAsia="仿宋_GB2312"/>
          <w:kern w:val="0"/>
          <w:sz w:val="32"/>
          <w:szCs w:val="32"/>
        </w:rPr>
        <w:t>，</w:t>
      </w:r>
      <w:r>
        <w:rPr>
          <w:rFonts w:eastAsia="仿宋_GB2312"/>
          <w:kern w:val="0"/>
          <w:sz w:val="32"/>
          <w:szCs w:val="32"/>
        </w:rPr>
        <w:t>红色文化展陈纪念馆等特色场馆建设空间。</w:t>
      </w:r>
      <w:r>
        <w:rPr>
          <w:rFonts w:hint="eastAsia" w:eastAsia="仿宋_GB2312"/>
          <w:kern w:val="0"/>
          <w:sz w:val="32"/>
          <w:szCs w:val="32"/>
        </w:rPr>
        <w:t>保障</w:t>
      </w:r>
      <w:r>
        <w:rPr>
          <w:rFonts w:eastAsia="仿宋_GB2312"/>
          <w:kern w:val="0"/>
          <w:sz w:val="32"/>
          <w:szCs w:val="32"/>
        </w:rPr>
        <w:t>非物质文化遗产保护科研与生产示范基地、民族文化艺术保护传承中心</w:t>
      </w:r>
      <w:r>
        <w:rPr>
          <w:rFonts w:hint="eastAsia" w:eastAsia="仿宋_GB2312"/>
          <w:kern w:val="0"/>
          <w:sz w:val="32"/>
          <w:szCs w:val="32"/>
        </w:rPr>
        <w:t>，以及</w:t>
      </w:r>
      <w:r>
        <w:rPr>
          <w:rFonts w:eastAsia="仿宋_GB2312"/>
          <w:kern w:val="0"/>
          <w:sz w:val="32"/>
          <w:szCs w:val="32"/>
        </w:rPr>
        <w:t>考古研究、非遗保护利用基础设施建设</w:t>
      </w:r>
      <w:r>
        <w:rPr>
          <w:rFonts w:hint="eastAsia" w:eastAsia="仿宋_GB2312"/>
          <w:kern w:val="0"/>
          <w:sz w:val="32"/>
          <w:szCs w:val="32"/>
        </w:rPr>
        <w:t>和</w:t>
      </w:r>
      <w:r>
        <w:rPr>
          <w:rFonts w:eastAsia="仿宋_GB2312"/>
          <w:kern w:val="0"/>
          <w:sz w:val="32"/>
          <w:szCs w:val="32"/>
        </w:rPr>
        <w:t>传统工艺振兴等</w:t>
      </w:r>
      <w:r>
        <w:rPr>
          <w:rFonts w:hint="eastAsia" w:eastAsia="仿宋_GB2312"/>
          <w:kern w:val="0"/>
          <w:sz w:val="32"/>
          <w:szCs w:val="32"/>
        </w:rPr>
        <w:t>项目用地空间</w:t>
      </w:r>
      <w:r>
        <w:rPr>
          <w:rFonts w:eastAsia="仿宋_GB2312"/>
          <w:kern w:val="0"/>
          <w:sz w:val="32"/>
          <w:szCs w:val="32"/>
        </w:rPr>
        <w:t>。</w:t>
      </w:r>
    </w:p>
    <w:p w14:paraId="6E3F06F6">
      <w:pPr>
        <w:pStyle w:val="3"/>
        <w:spacing w:before="156" w:beforeLines="50" w:after="156" w:afterLines="50" w:line="600" w:lineRule="exact"/>
        <w:rPr>
          <w:rFonts w:ascii="Times New Roman" w:hAnsi="Times New Roman"/>
          <w:b w:val="0"/>
          <w:bCs w:val="0"/>
        </w:rPr>
      </w:pPr>
      <w:bookmarkStart w:id="200" w:name="_Toc155861072"/>
      <w:bookmarkStart w:id="201" w:name="_Toc160715650"/>
      <w:r>
        <w:rPr>
          <w:rFonts w:ascii="Times New Roman" w:hAnsi="Times New Roman"/>
          <w:b w:val="0"/>
          <w:bCs w:val="0"/>
        </w:rPr>
        <w:t>第二节 发掘保护自然景观</w:t>
      </w:r>
      <w:bookmarkEnd w:id="200"/>
      <w:bookmarkEnd w:id="201"/>
    </w:p>
    <w:p w14:paraId="55C20598">
      <w:pPr>
        <w:spacing w:line="600" w:lineRule="exact"/>
        <w:ind w:firstLine="640"/>
        <w:rPr>
          <w:rFonts w:eastAsia="仿宋_GB2312"/>
          <w:kern w:val="0"/>
          <w:sz w:val="32"/>
          <w:szCs w:val="32"/>
        </w:rPr>
      </w:pPr>
      <w:r>
        <w:rPr>
          <w:rFonts w:eastAsia="楷体_GB2312"/>
          <w:bCs/>
          <w:kern w:val="0"/>
          <w:sz w:val="32"/>
          <w:szCs w:val="32"/>
        </w:rPr>
        <w:t>保护自然景观。</w:t>
      </w:r>
      <w:r>
        <w:rPr>
          <w:rFonts w:eastAsia="仿宋_GB2312"/>
          <w:kern w:val="0"/>
          <w:sz w:val="32"/>
          <w:szCs w:val="32"/>
        </w:rPr>
        <w:t>编制自然保护地规划，加强重要的自然生态系统、自然遗迹、自然景观以及具有生态、观赏、文化和科学价值的区域</w:t>
      </w:r>
      <w:r>
        <w:rPr>
          <w:rFonts w:hint="eastAsia" w:eastAsia="仿宋_GB2312"/>
          <w:kern w:val="0"/>
          <w:sz w:val="32"/>
          <w:szCs w:val="32"/>
        </w:rPr>
        <w:t>保护</w:t>
      </w:r>
      <w:r>
        <w:rPr>
          <w:rFonts w:eastAsia="仿宋_GB2312"/>
          <w:kern w:val="0"/>
          <w:sz w:val="32"/>
          <w:szCs w:val="32"/>
        </w:rPr>
        <w:t>。</w:t>
      </w:r>
    </w:p>
    <w:p w14:paraId="3F816BD7">
      <w:pPr>
        <w:spacing w:line="600" w:lineRule="exact"/>
        <w:ind w:firstLine="641"/>
        <w:rPr>
          <w:rFonts w:eastAsia="仿宋_GB2312"/>
          <w:kern w:val="0"/>
          <w:sz w:val="32"/>
          <w:szCs w:val="32"/>
        </w:rPr>
      </w:pPr>
      <w:r>
        <w:rPr>
          <w:rFonts w:eastAsia="楷体_GB2312"/>
          <w:bCs/>
          <w:kern w:val="0"/>
          <w:sz w:val="32"/>
          <w:szCs w:val="32"/>
        </w:rPr>
        <w:t>挖掘自然景观资源。</w:t>
      </w:r>
      <w:r>
        <w:rPr>
          <w:rFonts w:eastAsia="仿宋_GB2312"/>
          <w:kern w:val="0"/>
          <w:sz w:val="32"/>
          <w:szCs w:val="32"/>
        </w:rPr>
        <w:t>遵循自然景观真实性、完整性、和谐性原则，发挥森林</w:t>
      </w:r>
      <w:r>
        <w:rPr>
          <w:rFonts w:hint="eastAsia" w:eastAsia="仿宋_GB2312"/>
          <w:kern w:val="0"/>
          <w:sz w:val="32"/>
          <w:szCs w:val="32"/>
        </w:rPr>
        <w:t>、</w:t>
      </w:r>
      <w:r>
        <w:rPr>
          <w:rFonts w:eastAsia="仿宋_GB2312"/>
          <w:kern w:val="0"/>
          <w:sz w:val="32"/>
          <w:szCs w:val="32"/>
        </w:rPr>
        <w:t>草原、</w:t>
      </w:r>
      <w:r>
        <w:rPr>
          <w:rFonts w:hint="eastAsia" w:eastAsia="仿宋_GB2312"/>
          <w:kern w:val="0"/>
          <w:sz w:val="32"/>
          <w:szCs w:val="32"/>
        </w:rPr>
        <w:t>湿地、河流、湖泊、</w:t>
      </w:r>
      <w:r>
        <w:rPr>
          <w:rFonts w:eastAsia="仿宋_GB2312"/>
          <w:kern w:val="0"/>
          <w:sz w:val="32"/>
          <w:szCs w:val="32"/>
        </w:rPr>
        <w:t>沙漠、戈壁等</w:t>
      </w:r>
      <w:r>
        <w:rPr>
          <w:rFonts w:hint="eastAsia" w:eastAsia="仿宋_GB2312"/>
          <w:kern w:val="0"/>
          <w:sz w:val="32"/>
          <w:szCs w:val="32"/>
        </w:rPr>
        <w:t>多种自然景观</w:t>
      </w:r>
      <w:r>
        <w:rPr>
          <w:rFonts w:eastAsia="仿宋_GB2312"/>
          <w:kern w:val="0"/>
          <w:sz w:val="32"/>
          <w:szCs w:val="32"/>
        </w:rPr>
        <w:t>优势，以自然保护地为核心，保护性挖掘丹霞地貌、古老胡杨、沙地云杉、五角枫、冰川石林等特殊自然景观，坚持</w:t>
      </w:r>
      <w:r>
        <w:rPr>
          <w:rFonts w:hint="eastAsia" w:eastAsia="仿宋_GB2312"/>
          <w:kern w:val="0"/>
          <w:sz w:val="32"/>
          <w:szCs w:val="32"/>
        </w:rPr>
        <w:t>“</w:t>
      </w:r>
      <w:r>
        <w:rPr>
          <w:rFonts w:eastAsia="仿宋_GB2312"/>
          <w:kern w:val="0"/>
          <w:sz w:val="32"/>
          <w:szCs w:val="32"/>
        </w:rPr>
        <w:t>在保护中利用，在利用中保护</w:t>
      </w:r>
      <w:r>
        <w:rPr>
          <w:rFonts w:hint="eastAsia" w:eastAsia="仿宋_GB2312"/>
          <w:kern w:val="0"/>
          <w:sz w:val="32"/>
          <w:szCs w:val="32"/>
        </w:rPr>
        <w:t>”</w:t>
      </w:r>
      <w:r>
        <w:rPr>
          <w:rFonts w:eastAsia="仿宋_GB2312"/>
          <w:kern w:val="0"/>
          <w:sz w:val="32"/>
          <w:szCs w:val="32"/>
        </w:rPr>
        <w:t>的原则，对景观开发潜力较大的地区，兼顾生态、生产和生活功能，保障自然景观周边村镇的旅游服务用地空间。</w:t>
      </w:r>
    </w:p>
    <w:p w14:paraId="05C5A4CB">
      <w:pPr>
        <w:spacing w:line="600" w:lineRule="exact"/>
        <w:ind w:firstLine="641"/>
        <w:rPr>
          <w:rFonts w:eastAsia="仿宋_GB2312"/>
          <w:kern w:val="0"/>
          <w:sz w:val="32"/>
          <w:szCs w:val="32"/>
        </w:rPr>
      </w:pPr>
      <w:r>
        <w:rPr>
          <w:rFonts w:eastAsia="楷体_GB2312"/>
          <w:bCs/>
          <w:kern w:val="0"/>
          <w:sz w:val="32"/>
          <w:szCs w:val="32"/>
        </w:rPr>
        <w:t>加强自然景观管控。</w:t>
      </w:r>
      <w:r>
        <w:rPr>
          <w:rFonts w:eastAsia="仿宋_GB2312"/>
          <w:kern w:val="0"/>
          <w:sz w:val="32"/>
          <w:szCs w:val="32"/>
        </w:rPr>
        <w:t>对生态保护红线内的自然景观，严格</w:t>
      </w:r>
      <w:r>
        <w:rPr>
          <w:rFonts w:hint="eastAsia" w:eastAsia="仿宋_GB2312"/>
          <w:kern w:val="0"/>
          <w:sz w:val="32"/>
          <w:szCs w:val="32"/>
        </w:rPr>
        <w:t>落实</w:t>
      </w:r>
      <w:r>
        <w:rPr>
          <w:rFonts w:eastAsia="仿宋_GB2312"/>
          <w:kern w:val="0"/>
          <w:sz w:val="32"/>
          <w:szCs w:val="32"/>
        </w:rPr>
        <w:t>生态保护红线和自然保护地</w:t>
      </w:r>
      <w:r>
        <w:rPr>
          <w:rFonts w:hint="eastAsia" w:eastAsia="仿宋_GB2312"/>
          <w:kern w:val="0"/>
          <w:sz w:val="32"/>
          <w:szCs w:val="32"/>
        </w:rPr>
        <w:t>管控要求</w:t>
      </w:r>
      <w:r>
        <w:rPr>
          <w:rFonts w:eastAsia="仿宋_GB2312"/>
          <w:kern w:val="0"/>
          <w:sz w:val="32"/>
          <w:szCs w:val="32"/>
        </w:rPr>
        <w:t>。加强自然景观动态监测，保护景观生态系统</w:t>
      </w:r>
      <w:r>
        <w:rPr>
          <w:rFonts w:hint="eastAsia" w:eastAsia="仿宋_GB2312"/>
          <w:kern w:val="0"/>
          <w:sz w:val="32"/>
          <w:szCs w:val="32"/>
        </w:rPr>
        <w:t>的多样性和稳定性</w:t>
      </w:r>
      <w:r>
        <w:rPr>
          <w:rFonts w:eastAsia="仿宋_GB2312"/>
          <w:kern w:val="0"/>
          <w:sz w:val="32"/>
          <w:szCs w:val="32"/>
        </w:rPr>
        <w:t>，保障自然生态的可持续发展。对特质鲜明、生态环境敏感的</w:t>
      </w:r>
      <w:r>
        <w:rPr>
          <w:rFonts w:hint="eastAsia" w:eastAsia="仿宋_GB2312"/>
          <w:kern w:val="0"/>
          <w:sz w:val="32"/>
          <w:szCs w:val="32"/>
        </w:rPr>
        <w:t>自然</w:t>
      </w:r>
      <w:r>
        <w:rPr>
          <w:rFonts w:eastAsia="仿宋_GB2312"/>
          <w:kern w:val="0"/>
          <w:sz w:val="32"/>
          <w:szCs w:val="32"/>
        </w:rPr>
        <w:t>景观，要注重保护与发展协同；对风景独特、</w:t>
      </w:r>
      <w:r>
        <w:rPr>
          <w:rFonts w:hint="eastAsia" w:eastAsia="仿宋_GB2312"/>
          <w:kern w:val="0"/>
          <w:sz w:val="32"/>
          <w:szCs w:val="32"/>
        </w:rPr>
        <w:t>具有</w:t>
      </w:r>
      <w:r>
        <w:rPr>
          <w:rFonts w:eastAsia="仿宋_GB2312"/>
          <w:kern w:val="0"/>
          <w:sz w:val="32"/>
          <w:szCs w:val="32"/>
        </w:rPr>
        <w:t>发展潜力的自然景观，</w:t>
      </w:r>
      <w:r>
        <w:rPr>
          <w:rFonts w:hint="eastAsia" w:eastAsia="仿宋_GB2312"/>
          <w:kern w:val="0"/>
          <w:sz w:val="32"/>
          <w:szCs w:val="32"/>
        </w:rPr>
        <w:t>在</w:t>
      </w:r>
      <w:r>
        <w:rPr>
          <w:rFonts w:eastAsia="仿宋_GB2312"/>
          <w:kern w:val="0"/>
          <w:sz w:val="32"/>
          <w:szCs w:val="32"/>
        </w:rPr>
        <w:t>综合利用与评价</w:t>
      </w:r>
      <w:r>
        <w:rPr>
          <w:rFonts w:hint="eastAsia" w:eastAsia="仿宋_GB2312"/>
          <w:kern w:val="0"/>
          <w:sz w:val="32"/>
          <w:szCs w:val="32"/>
        </w:rPr>
        <w:t>基础上</w:t>
      </w:r>
      <w:r>
        <w:rPr>
          <w:rFonts w:eastAsia="仿宋_GB2312"/>
          <w:kern w:val="0"/>
          <w:sz w:val="32"/>
          <w:szCs w:val="32"/>
        </w:rPr>
        <w:t>，进行适度保护性开发；</w:t>
      </w:r>
      <w:r>
        <w:rPr>
          <w:rFonts w:hint="eastAsia" w:eastAsia="仿宋_GB2312"/>
          <w:kern w:val="0"/>
          <w:sz w:val="32"/>
          <w:szCs w:val="32"/>
        </w:rPr>
        <w:t>对生态资源丰富，尚未开发的自然景观</w:t>
      </w:r>
      <w:r>
        <w:rPr>
          <w:rFonts w:eastAsia="仿宋_GB2312"/>
          <w:kern w:val="0"/>
          <w:sz w:val="32"/>
          <w:szCs w:val="32"/>
        </w:rPr>
        <w:t>，应注重管控，限制开发，减少人工干预，保护生态环境和保育自然资源。</w:t>
      </w:r>
    </w:p>
    <w:p w14:paraId="5CCB95A2">
      <w:pPr>
        <w:pStyle w:val="3"/>
        <w:spacing w:before="156" w:beforeLines="50" w:after="156" w:afterLines="50" w:line="600" w:lineRule="exact"/>
        <w:rPr>
          <w:rFonts w:ascii="Times New Roman" w:hAnsi="Times New Roman"/>
          <w:b w:val="0"/>
          <w:bCs w:val="0"/>
        </w:rPr>
      </w:pPr>
      <w:bookmarkStart w:id="202" w:name="_Toc155861073"/>
      <w:bookmarkStart w:id="203" w:name="_Toc160715651"/>
      <w:r>
        <w:rPr>
          <w:rFonts w:ascii="Times New Roman" w:hAnsi="Times New Roman"/>
          <w:b w:val="0"/>
          <w:bCs w:val="0"/>
        </w:rPr>
        <w:t>第三节 营造美丽城乡风貌</w:t>
      </w:r>
      <w:bookmarkEnd w:id="202"/>
      <w:bookmarkEnd w:id="203"/>
    </w:p>
    <w:p w14:paraId="60662B86">
      <w:pPr>
        <w:pStyle w:val="79"/>
        <w:ind w:firstLine="640"/>
        <w:rPr>
          <w:rFonts w:ascii="Times New Roman" w:hAnsi="Times New Roman" w:eastAsia="仿宋_GB2312"/>
          <w:kern w:val="0"/>
          <w:sz w:val="32"/>
          <w:szCs w:val="32"/>
        </w:rPr>
      </w:pPr>
      <w:r>
        <w:rPr>
          <w:rFonts w:ascii="Times New Roman" w:hAnsi="Times New Roman" w:eastAsia="楷体_GB2312"/>
          <w:bCs/>
          <w:kern w:val="0"/>
          <w:sz w:val="32"/>
          <w:szCs w:val="32"/>
        </w:rPr>
        <w:t>凸显城市特色风貌。</w:t>
      </w:r>
      <w:r>
        <w:rPr>
          <w:rFonts w:ascii="Times New Roman" w:hAnsi="Times New Roman" w:eastAsia="仿宋_GB2312"/>
          <w:kern w:val="0"/>
          <w:sz w:val="32"/>
          <w:szCs w:val="32"/>
        </w:rPr>
        <w:t>厚植</w:t>
      </w:r>
      <w:r>
        <w:rPr>
          <w:rFonts w:hint="eastAsia" w:ascii="Times New Roman" w:hAnsi="Times New Roman" w:eastAsia="仿宋_GB2312"/>
          <w:kern w:val="0"/>
          <w:sz w:val="32"/>
          <w:szCs w:val="32"/>
        </w:rPr>
        <w:t>“</w:t>
      </w:r>
      <w:r>
        <w:rPr>
          <w:rFonts w:ascii="Times New Roman" w:hAnsi="Times New Roman" w:eastAsia="仿宋_GB2312"/>
          <w:kern w:val="0"/>
          <w:sz w:val="32"/>
          <w:szCs w:val="32"/>
        </w:rPr>
        <w:t>北疆绿</w:t>
      </w:r>
      <w:r>
        <w:rPr>
          <w:rFonts w:hint="eastAsia" w:ascii="Times New Roman" w:hAnsi="Times New Roman" w:eastAsia="仿宋_GB2312"/>
          <w:kern w:val="0"/>
          <w:sz w:val="32"/>
          <w:szCs w:val="32"/>
        </w:rPr>
        <w:t>”</w:t>
      </w:r>
      <w:r>
        <w:rPr>
          <w:rFonts w:ascii="Times New Roman" w:hAnsi="Times New Roman" w:eastAsia="仿宋_GB2312"/>
          <w:kern w:val="0"/>
          <w:sz w:val="32"/>
          <w:szCs w:val="32"/>
        </w:rPr>
        <w:t>、增色</w:t>
      </w:r>
      <w:r>
        <w:rPr>
          <w:rFonts w:hint="eastAsia" w:ascii="Times New Roman" w:hAnsi="Times New Roman" w:eastAsia="仿宋_GB2312"/>
          <w:kern w:val="0"/>
          <w:sz w:val="32"/>
          <w:szCs w:val="32"/>
        </w:rPr>
        <w:t>“</w:t>
      </w:r>
      <w:r>
        <w:rPr>
          <w:rFonts w:ascii="Times New Roman" w:hAnsi="Times New Roman" w:eastAsia="仿宋_GB2312"/>
          <w:kern w:val="0"/>
          <w:sz w:val="32"/>
          <w:szCs w:val="32"/>
        </w:rPr>
        <w:t>中国蓝</w:t>
      </w:r>
      <w:r>
        <w:rPr>
          <w:rFonts w:hint="eastAsia" w:ascii="Times New Roman" w:hAnsi="Times New Roman" w:eastAsia="仿宋_GB2312"/>
          <w:kern w:val="0"/>
          <w:sz w:val="32"/>
          <w:szCs w:val="32"/>
        </w:rPr>
        <w:t>”</w:t>
      </w:r>
      <w:r>
        <w:rPr>
          <w:rFonts w:ascii="Times New Roman" w:hAnsi="Times New Roman" w:eastAsia="仿宋_GB2312"/>
          <w:kern w:val="0"/>
          <w:sz w:val="32"/>
          <w:szCs w:val="32"/>
        </w:rPr>
        <w:t>，打造富有地域个性的城市特色风貌。依托草原、森林等自然景观和特色地域文化等历史资源，构建独特的空间景观，镌刻</w:t>
      </w:r>
      <w:r>
        <w:rPr>
          <w:rFonts w:hint="eastAsia" w:ascii="Times New Roman" w:hAnsi="Times New Roman" w:eastAsia="仿宋_GB2312"/>
          <w:kern w:val="0"/>
          <w:sz w:val="32"/>
          <w:szCs w:val="32"/>
        </w:rPr>
        <w:t>“</w:t>
      </w:r>
      <w:r>
        <w:rPr>
          <w:rFonts w:ascii="Times New Roman" w:hAnsi="Times New Roman" w:eastAsia="仿宋_GB2312"/>
          <w:kern w:val="0"/>
          <w:sz w:val="32"/>
          <w:szCs w:val="32"/>
        </w:rPr>
        <w:t>草原青城</w:t>
      </w:r>
      <w:r>
        <w:rPr>
          <w:rFonts w:hint="eastAsia" w:ascii="Times New Roman" w:hAnsi="Times New Roman" w:eastAsia="仿宋_GB2312"/>
          <w:kern w:val="0"/>
          <w:sz w:val="32"/>
          <w:szCs w:val="32"/>
        </w:rPr>
        <w:t>”“</w:t>
      </w:r>
      <w:r>
        <w:rPr>
          <w:rFonts w:ascii="Times New Roman" w:hAnsi="Times New Roman" w:eastAsia="仿宋_GB2312"/>
          <w:kern w:val="0"/>
          <w:sz w:val="32"/>
          <w:szCs w:val="32"/>
        </w:rPr>
        <w:t>草原钢城</w:t>
      </w:r>
      <w:r>
        <w:rPr>
          <w:rFonts w:hint="eastAsia" w:ascii="Times New Roman" w:hAnsi="Times New Roman" w:eastAsia="仿宋_GB2312"/>
          <w:kern w:val="0"/>
          <w:sz w:val="32"/>
          <w:szCs w:val="32"/>
        </w:rPr>
        <w:t>””</w:t>
      </w:r>
      <w:r>
        <w:rPr>
          <w:rFonts w:ascii="Times New Roman" w:hAnsi="Times New Roman" w:eastAsia="仿宋_GB2312"/>
          <w:kern w:val="0"/>
          <w:sz w:val="32"/>
          <w:szCs w:val="32"/>
        </w:rPr>
        <w:t>草原明珠</w:t>
      </w:r>
      <w:r>
        <w:rPr>
          <w:rFonts w:hint="eastAsia" w:ascii="Times New Roman" w:hAnsi="Times New Roman" w:eastAsia="仿宋_GB2312"/>
          <w:kern w:val="0"/>
          <w:sz w:val="32"/>
          <w:szCs w:val="32"/>
        </w:rPr>
        <w:t>”</w:t>
      </w:r>
      <w:r>
        <w:rPr>
          <w:rFonts w:ascii="Times New Roman" w:hAnsi="Times New Roman" w:eastAsia="仿宋_GB2312"/>
          <w:kern w:val="0"/>
          <w:sz w:val="32"/>
          <w:szCs w:val="32"/>
        </w:rPr>
        <w:t>等草原城市，在河套灌区营造</w:t>
      </w:r>
      <w:r>
        <w:rPr>
          <w:rFonts w:hint="eastAsia" w:ascii="Times New Roman" w:hAnsi="Times New Roman" w:eastAsia="仿宋_GB2312"/>
          <w:kern w:val="0"/>
          <w:sz w:val="32"/>
          <w:szCs w:val="32"/>
        </w:rPr>
        <w:t>“</w:t>
      </w:r>
      <w:r>
        <w:rPr>
          <w:rFonts w:ascii="Times New Roman" w:hAnsi="Times New Roman" w:eastAsia="仿宋_GB2312"/>
          <w:kern w:val="0"/>
          <w:sz w:val="32"/>
          <w:szCs w:val="32"/>
        </w:rPr>
        <w:t>塞上江南</w:t>
      </w:r>
      <w:r>
        <w:rPr>
          <w:rFonts w:hint="eastAsia" w:ascii="Times New Roman" w:hAnsi="Times New Roman" w:eastAsia="仿宋_GB2312"/>
          <w:kern w:val="0"/>
          <w:sz w:val="32"/>
          <w:szCs w:val="32"/>
        </w:rPr>
        <w:t>”</w:t>
      </w:r>
      <w:r>
        <w:rPr>
          <w:rFonts w:ascii="Times New Roman" w:hAnsi="Times New Roman" w:eastAsia="仿宋_GB2312"/>
          <w:kern w:val="0"/>
          <w:sz w:val="32"/>
          <w:szCs w:val="32"/>
        </w:rPr>
        <w:t>，在沙海</w:t>
      </w:r>
      <w:r>
        <w:rPr>
          <w:rFonts w:hint="eastAsia" w:ascii="Times New Roman" w:hAnsi="Times New Roman" w:eastAsia="仿宋_GB2312"/>
          <w:kern w:val="0"/>
          <w:sz w:val="32"/>
          <w:szCs w:val="32"/>
        </w:rPr>
        <w:t>“</w:t>
      </w:r>
      <w:r>
        <w:rPr>
          <w:rFonts w:ascii="Times New Roman" w:hAnsi="Times New Roman" w:eastAsia="仿宋_GB2312"/>
          <w:kern w:val="0"/>
          <w:sz w:val="32"/>
          <w:szCs w:val="32"/>
        </w:rPr>
        <w:t>绣</w:t>
      </w:r>
      <w:r>
        <w:rPr>
          <w:rFonts w:hint="eastAsia" w:ascii="Times New Roman" w:hAnsi="Times New Roman" w:eastAsia="仿宋_GB2312"/>
          <w:kern w:val="0"/>
          <w:sz w:val="32"/>
          <w:szCs w:val="32"/>
        </w:rPr>
        <w:t>”</w:t>
      </w:r>
      <w:r>
        <w:rPr>
          <w:rFonts w:ascii="Times New Roman" w:hAnsi="Times New Roman" w:eastAsia="仿宋_GB2312"/>
          <w:kern w:val="0"/>
          <w:sz w:val="32"/>
          <w:szCs w:val="32"/>
        </w:rPr>
        <w:t>出</w:t>
      </w:r>
      <w:r>
        <w:rPr>
          <w:rFonts w:hint="eastAsia" w:ascii="Times New Roman" w:hAnsi="Times New Roman" w:eastAsia="仿宋_GB2312"/>
          <w:kern w:val="0"/>
          <w:sz w:val="32"/>
          <w:szCs w:val="32"/>
        </w:rPr>
        <w:t>“</w:t>
      </w:r>
      <w:r>
        <w:rPr>
          <w:rFonts w:ascii="Times New Roman" w:hAnsi="Times New Roman" w:eastAsia="仿宋_GB2312"/>
          <w:kern w:val="0"/>
          <w:sz w:val="32"/>
          <w:szCs w:val="32"/>
        </w:rPr>
        <w:t>大漠湖城</w:t>
      </w:r>
      <w:r>
        <w:rPr>
          <w:rFonts w:hint="eastAsia" w:ascii="Times New Roman" w:hAnsi="Times New Roman" w:eastAsia="仿宋_GB2312"/>
          <w:kern w:val="0"/>
          <w:sz w:val="32"/>
          <w:szCs w:val="32"/>
        </w:rPr>
        <w:t>”</w:t>
      </w:r>
      <w:r>
        <w:rPr>
          <w:rFonts w:ascii="Times New Roman" w:hAnsi="Times New Roman" w:eastAsia="仿宋_GB2312"/>
          <w:kern w:val="0"/>
          <w:sz w:val="32"/>
          <w:szCs w:val="32"/>
        </w:rPr>
        <w:t>和</w:t>
      </w:r>
      <w:r>
        <w:rPr>
          <w:rFonts w:hint="eastAsia" w:ascii="Times New Roman" w:hAnsi="Times New Roman" w:eastAsia="仿宋_GB2312"/>
          <w:kern w:val="0"/>
          <w:sz w:val="32"/>
          <w:szCs w:val="32"/>
        </w:rPr>
        <w:t>“</w:t>
      </w:r>
      <w:r>
        <w:rPr>
          <w:rFonts w:ascii="Times New Roman" w:hAnsi="Times New Roman" w:eastAsia="仿宋_GB2312"/>
          <w:kern w:val="0"/>
          <w:sz w:val="32"/>
          <w:szCs w:val="32"/>
        </w:rPr>
        <w:t>沙漠绿洲</w:t>
      </w:r>
      <w:r>
        <w:rPr>
          <w:rFonts w:hint="eastAsia" w:ascii="Times New Roman" w:hAnsi="Times New Roman" w:eastAsia="仿宋_GB2312"/>
          <w:kern w:val="0"/>
          <w:sz w:val="32"/>
          <w:szCs w:val="32"/>
        </w:rPr>
        <w:t>”</w:t>
      </w:r>
      <w:r>
        <w:rPr>
          <w:rFonts w:ascii="Times New Roman" w:hAnsi="Times New Roman" w:eastAsia="仿宋_GB2312"/>
          <w:kern w:val="0"/>
          <w:sz w:val="32"/>
          <w:szCs w:val="32"/>
        </w:rPr>
        <w:t>，</w:t>
      </w:r>
      <w:bookmarkStart w:id="204" w:name="_Toc64379565"/>
      <w:r>
        <w:rPr>
          <w:rFonts w:ascii="Times New Roman" w:hAnsi="Times New Roman" w:eastAsia="仿宋_GB2312"/>
          <w:kern w:val="0"/>
          <w:sz w:val="32"/>
          <w:szCs w:val="32"/>
        </w:rPr>
        <w:t>把祖国北疆这道风景线建设得更加亮丽。</w:t>
      </w:r>
    </w:p>
    <w:p w14:paraId="424DE50F">
      <w:pPr>
        <w:pStyle w:val="79"/>
        <w:ind w:firstLine="640"/>
        <w:rPr>
          <w:rFonts w:ascii="Times New Roman" w:hAnsi="Times New Roman" w:eastAsia="仿宋_GB2312"/>
          <w:kern w:val="0"/>
          <w:sz w:val="32"/>
          <w:szCs w:val="32"/>
        </w:rPr>
      </w:pPr>
      <w:r>
        <w:rPr>
          <w:rFonts w:ascii="Times New Roman" w:hAnsi="Times New Roman" w:eastAsia="楷体_GB2312"/>
          <w:bCs/>
          <w:kern w:val="0"/>
          <w:sz w:val="32"/>
          <w:szCs w:val="32"/>
        </w:rPr>
        <w:t>传承美丽农村牧区地域特色。</w:t>
      </w:r>
      <w:r>
        <w:rPr>
          <w:rFonts w:ascii="Times New Roman" w:hAnsi="Times New Roman" w:eastAsia="仿宋_GB2312"/>
          <w:kern w:val="0"/>
          <w:sz w:val="32"/>
          <w:szCs w:val="32"/>
        </w:rPr>
        <w:t>充分尊重农区、牧区、半农半牧区村庄在自然条件、生活习惯、生产方式、布局形态等方面</w:t>
      </w:r>
      <w:r>
        <w:rPr>
          <w:rFonts w:hint="eastAsia" w:ascii="Times New Roman" w:hAnsi="Times New Roman" w:eastAsia="仿宋_GB2312"/>
          <w:kern w:val="0"/>
          <w:sz w:val="32"/>
          <w:szCs w:val="32"/>
        </w:rPr>
        <w:t>的</w:t>
      </w:r>
      <w:r>
        <w:rPr>
          <w:rFonts w:ascii="Times New Roman" w:hAnsi="Times New Roman" w:eastAsia="仿宋_GB2312"/>
          <w:kern w:val="0"/>
          <w:sz w:val="32"/>
          <w:szCs w:val="32"/>
        </w:rPr>
        <w:t>特点，突出乡</w:t>
      </w:r>
      <w:r>
        <w:rPr>
          <w:rFonts w:hint="eastAsia" w:ascii="Times New Roman" w:hAnsi="Times New Roman" w:eastAsia="仿宋_GB2312"/>
          <w:kern w:val="0"/>
          <w:sz w:val="32"/>
          <w:szCs w:val="32"/>
        </w:rPr>
        <w:t>村文化</w:t>
      </w:r>
      <w:r>
        <w:rPr>
          <w:rFonts w:ascii="Times New Roman" w:hAnsi="Times New Roman" w:eastAsia="仿宋_GB2312"/>
          <w:kern w:val="0"/>
          <w:sz w:val="32"/>
          <w:szCs w:val="32"/>
        </w:rPr>
        <w:t>，传承特色建筑风格，注重村庄特色环境、文物古迹、公共空间等要素保护，将自然、文化、产业有机结合，形成具有特色的乡村风貌。</w:t>
      </w:r>
    </w:p>
    <w:p w14:paraId="79EAB8B3">
      <w:pPr>
        <w:pStyle w:val="3"/>
        <w:spacing w:before="156" w:beforeLines="50" w:after="156" w:afterLines="50" w:line="600" w:lineRule="exact"/>
        <w:rPr>
          <w:rFonts w:ascii="Times New Roman" w:hAnsi="Times New Roman"/>
          <w:b w:val="0"/>
          <w:bCs w:val="0"/>
        </w:rPr>
      </w:pPr>
      <w:bookmarkStart w:id="205" w:name="_Toc155861074"/>
      <w:bookmarkStart w:id="206" w:name="_Toc160715652"/>
      <w:r>
        <w:rPr>
          <w:rFonts w:ascii="Times New Roman" w:hAnsi="Times New Roman"/>
          <w:b w:val="0"/>
          <w:bCs w:val="0"/>
        </w:rPr>
        <w:t>第四节 彰显特色魅力国土</w:t>
      </w:r>
      <w:bookmarkEnd w:id="204"/>
      <w:bookmarkEnd w:id="205"/>
      <w:bookmarkEnd w:id="206"/>
    </w:p>
    <w:p w14:paraId="5D522F12">
      <w:pPr>
        <w:spacing w:line="600" w:lineRule="exact"/>
        <w:ind w:firstLine="640"/>
        <w:rPr>
          <w:rFonts w:eastAsia="仿宋_GB2312"/>
          <w:kern w:val="0"/>
          <w:sz w:val="32"/>
          <w:szCs w:val="32"/>
        </w:rPr>
      </w:pPr>
      <w:r>
        <w:rPr>
          <w:rFonts w:eastAsia="楷体_GB2312"/>
          <w:bCs/>
          <w:kern w:val="0"/>
          <w:sz w:val="32"/>
          <w:szCs w:val="32"/>
        </w:rPr>
        <w:t>建设山水人文魅力景观区。</w:t>
      </w:r>
      <w:r>
        <w:rPr>
          <w:rFonts w:eastAsia="仿宋_GB2312"/>
          <w:kern w:val="0"/>
          <w:sz w:val="32"/>
          <w:szCs w:val="32"/>
        </w:rPr>
        <w:t>统筹地方传统民俗、文化遗产、自然景观、特色村镇等资源，建设山水人文魅力景观区。依托阿拉善沙漠世界地质公园、沙漠胡杨林，形成</w:t>
      </w:r>
      <w:r>
        <w:rPr>
          <w:rFonts w:hint="eastAsia" w:eastAsia="仿宋_GB2312"/>
          <w:kern w:val="0"/>
          <w:sz w:val="32"/>
          <w:szCs w:val="32"/>
        </w:rPr>
        <w:t>以阿拉善盟为核心的</w:t>
      </w:r>
      <w:r>
        <w:rPr>
          <w:rFonts w:eastAsia="仿宋_GB2312"/>
          <w:kern w:val="0"/>
          <w:sz w:val="32"/>
          <w:szCs w:val="32"/>
        </w:rPr>
        <w:t>魅力景观区；依托黄河风景、</w:t>
      </w:r>
      <w:r>
        <w:rPr>
          <w:rFonts w:hint="eastAsia" w:eastAsia="仿宋_GB2312"/>
          <w:kern w:val="0"/>
          <w:sz w:val="32"/>
          <w:szCs w:val="32"/>
        </w:rPr>
        <w:t>黄河</w:t>
      </w:r>
      <w:r>
        <w:rPr>
          <w:rFonts w:eastAsia="仿宋_GB2312"/>
          <w:kern w:val="0"/>
          <w:sz w:val="32"/>
          <w:szCs w:val="32"/>
        </w:rPr>
        <w:t>文化，形成以呼包鄂为核心的黄河</w:t>
      </w:r>
      <w:r>
        <w:rPr>
          <w:rFonts w:hint="eastAsia" w:eastAsia="仿宋_GB2312"/>
          <w:kern w:val="0"/>
          <w:sz w:val="32"/>
          <w:szCs w:val="32"/>
        </w:rPr>
        <w:t>“</w:t>
      </w:r>
      <w:r>
        <w:rPr>
          <w:rFonts w:eastAsia="仿宋_GB2312"/>
          <w:kern w:val="0"/>
          <w:sz w:val="32"/>
          <w:szCs w:val="32"/>
        </w:rPr>
        <w:t>几</w:t>
      </w:r>
      <w:r>
        <w:rPr>
          <w:rFonts w:hint="eastAsia" w:eastAsia="仿宋_GB2312"/>
          <w:kern w:val="0"/>
          <w:sz w:val="32"/>
          <w:szCs w:val="32"/>
        </w:rPr>
        <w:t>”</w:t>
      </w:r>
      <w:r>
        <w:rPr>
          <w:rFonts w:eastAsia="仿宋_GB2312"/>
          <w:kern w:val="0"/>
          <w:sz w:val="32"/>
          <w:szCs w:val="32"/>
        </w:rPr>
        <w:t>字弯魅力景观区；依托辽阔草原、</w:t>
      </w:r>
      <w:r>
        <w:rPr>
          <w:rFonts w:hint="eastAsia" w:eastAsia="仿宋_GB2312"/>
          <w:kern w:val="0"/>
          <w:sz w:val="32"/>
          <w:szCs w:val="32"/>
        </w:rPr>
        <w:t>草原</w:t>
      </w:r>
      <w:r>
        <w:rPr>
          <w:rFonts w:eastAsia="仿宋_GB2312"/>
          <w:kern w:val="0"/>
          <w:sz w:val="32"/>
          <w:szCs w:val="32"/>
        </w:rPr>
        <w:t>文化，形成以锡林郭勒</w:t>
      </w:r>
      <w:r>
        <w:rPr>
          <w:rFonts w:hint="eastAsia" w:eastAsia="仿宋_GB2312"/>
          <w:kern w:val="0"/>
          <w:sz w:val="32"/>
          <w:szCs w:val="32"/>
        </w:rPr>
        <w:t>盟</w:t>
      </w:r>
      <w:r>
        <w:rPr>
          <w:rFonts w:eastAsia="仿宋_GB2312"/>
          <w:kern w:val="0"/>
          <w:sz w:val="32"/>
          <w:szCs w:val="32"/>
        </w:rPr>
        <w:t>为核心的魅力景观区；依托京津冀后花园、</w:t>
      </w:r>
      <w:r>
        <w:rPr>
          <w:rFonts w:hint="eastAsia" w:eastAsia="仿宋_GB2312"/>
          <w:kern w:val="0"/>
          <w:sz w:val="32"/>
          <w:szCs w:val="32"/>
        </w:rPr>
        <w:t>农耕</w:t>
      </w:r>
      <w:r>
        <w:rPr>
          <w:rFonts w:eastAsia="仿宋_GB2312"/>
          <w:kern w:val="0"/>
          <w:sz w:val="32"/>
          <w:szCs w:val="32"/>
        </w:rPr>
        <w:t>文化，形成以</w:t>
      </w:r>
      <w:r>
        <w:rPr>
          <w:rFonts w:hint="eastAsia" w:eastAsia="仿宋_GB2312"/>
          <w:kern w:val="0"/>
          <w:sz w:val="32"/>
          <w:szCs w:val="32"/>
        </w:rPr>
        <w:t>赤峰市、通辽市</w:t>
      </w:r>
      <w:r>
        <w:rPr>
          <w:rFonts w:eastAsia="仿宋_GB2312"/>
          <w:kern w:val="0"/>
          <w:sz w:val="32"/>
          <w:szCs w:val="32"/>
        </w:rPr>
        <w:t>为核心的魅力景观区；依托中俄边境、大兴安岭浩瀚林海、茫茫草原</w:t>
      </w:r>
      <w:r>
        <w:rPr>
          <w:rFonts w:hint="eastAsia" w:eastAsia="仿宋_GB2312"/>
          <w:kern w:val="0"/>
          <w:sz w:val="32"/>
          <w:szCs w:val="32"/>
        </w:rPr>
        <w:t>、红色文化</w:t>
      </w:r>
      <w:r>
        <w:rPr>
          <w:rFonts w:eastAsia="仿宋_GB2312"/>
          <w:kern w:val="0"/>
          <w:sz w:val="32"/>
          <w:szCs w:val="32"/>
        </w:rPr>
        <w:t>，形成以呼伦贝尔</w:t>
      </w:r>
      <w:r>
        <w:rPr>
          <w:rFonts w:hint="eastAsia" w:eastAsia="仿宋_GB2312"/>
          <w:kern w:val="0"/>
          <w:sz w:val="32"/>
          <w:szCs w:val="32"/>
        </w:rPr>
        <w:t>市</w:t>
      </w:r>
      <w:r>
        <w:rPr>
          <w:rFonts w:eastAsia="仿宋_GB2312"/>
          <w:kern w:val="0"/>
          <w:sz w:val="32"/>
          <w:szCs w:val="32"/>
        </w:rPr>
        <w:t>为核心的魅力景观区。</w:t>
      </w:r>
    </w:p>
    <w:p w14:paraId="62FF18FA">
      <w:pPr>
        <w:spacing w:line="600" w:lineRule="exact"/>
        <w:ind w:firstLine="640"/>
        <w:rPr>
          <w:rFonts w:eastAsia="仿宋_GB2312"/>
          <w:kern w:val="0"/>
          <w:sz w:val="32"/>
          <w:szCs w:val="32"/>
        </w:rPr>
      </w:pPr>
      <w:r>
        <w:rPr>
          <w:rFonts w:eastAsia="楷体_GB2312"/>
          <w:bCs/>
          <w:kern w:val="0"/>
          <w:sz w:val="32"/>
          <w:szCs w:val="32"/>
        </w:rPr>
        <w:t>支持魅力国土景观线建设。</w:t>
      </w:r>
      <w:r>
        <w:rPr>
          <w:rFonts w:eastAsia="仿宋_GB2312"/>
          <w:kern w:val="0"/>
          <w:sz w:val="32"/>
          <w:szCs w:val="32"/>
        </w:rPr>
        <w:t>以重要交通干线为基础</w:t>
      </w:r>
      <w:r>
        <w:rPr>
          <w:rFonts w:hint="eastAsia" w:eastAsia="仿宋_GB2312"/>
          <w:kern w:val="0"/>
          <w:sz w:val="32"/>
          <w:szCs w:val="32"/>
        </w:rPr>
        <w:t>，</w:t>
      </w:r>
      <w:r>
        <w:rPr>
          <w:rFonts w:eastAsia="仿宋_GB2312"/>
          <w:kern w:val="0"/>
          <w:sz w:val="32"/>
          <w:szCs w:val="32"/>
        </w:rPr>
        <w:t>以万里茶道文化、中欧班列东线铁路文化为底蕴</w:t>
      </w:r>
      <w:r>
        <w:rPr>
          <w:rFonts w:hint="eastAsia" w:eastAsia="仿宋_GB2312"/>
          <w:kern w:val="0"/>
          <w:sz w:val="32"/>
          <w:szCs w:val="32"/>
        </w:rPr>
        <w:t>，以</w:t>
      </w:r>
      <w:r>
        <w:rPr>
          <w:rFonts w:eastAsia="仿宋_GB2312"/>
          <w:kern w:val="0"/>
          <w:sz w:val="32"/>
          <w:szCs w:val="32"/>
        </w:rPr>
        <w:t>历史文化传承</w:t>
      </w:r>
      <w:r>
        <w:rPr>
          <w:rFonts w:hint="eastAsia" w:eastAsia="仿宋_GB2312"/>
          <w:kern w:val="0"/>
          <w:sz w:val="32"/>
          <w:szCs w:val="32"/>
        </w:rPr>
        <w:t>为导向</w:t>
      </w:r>
      <w:r>
        <w:rPr>
          <w:rFonts w:eastAsia="仿宋_GB2312"/>
          <w:kern w:val="0"/>
          <w:sz w:val="32"/>
          <w:szCs w:val="32"/>
        </w:rPr>
        <w:t>，结合国家生态风景道体系、区域历史文化及旅游精品线路，</w:t>
      </w:r>
      <w:r>
        <w:rPr>
          <w:rFonts w:hint="eastAsia" w:eastAsia="仿宋_GB2312"/>
          <w:kern w:val="0"/>
          <w:sz w:val="32"/>
          <w:szCs w:val="32"/>
        </w:rPr>
        <w:t>形成包含</w:t>
      </w:r>
      <w:r>
        <w:rPr>
          <w:rFonts w:eastAsia="仿宋_GB2312"/>
          <w:kern w:val="0"/>
          <w:sz w:val="32"/>
          <w:szCs w:val="32"/>
        </w:rPr>
        <w:t>自然、人文、生态</w:t>
      </w:r>
      <w:r>
        <w:rPr>
          <w:rFonts w:hint="eastAsia" w:eastAsia="仿宋_GB2312"/>
          <w:kern w:val="0"/>
          <w:sz w:val="32"/>
          <w:szCs w:val="32"/>
        </w:rPr>
        <w:t>的魅力</w:t>
      </w:r>
      <w:r>
        <w:rPr>
          <w:rFonts w:eastAsia="仿宋_GB2312"/>
          <w:kern w:val="0"/>
          <w:sz w:val="32"/>
          <w:szCs w:val="32"/>
        </w:rPr>
        <w:t>景观线。</w:t>
      </w:r>
    </w:p>
    <w:p w14:paraId="0EE81B61">
      <w:pPr>
        <w:spacing w:line="600" w:lineRule="exact"/>
        <w:ind w:firstLine="640"/>
        <w:rPr>
          <w:rFonts w:eastAsia="方正小标宋"/>
          <w:sz w:val="40"/>
          <w:szCs w:val="32"/>
        </w:rPr>
      </w:pPr>
      <w:r>
        <w:rPr>
          <w:rFonts w:eastAsia="楷体_GB2312"/>
          <w:bCs/>
          <w:kern w:val="0"/>
          <w:sz w:val="32"/>
          <w:szCs w:val="32"/>
        </w:rPr>
        <w:t>保障旅游要素建设空间。</w:t>
      </w:r>
      <w:r>
        <w:rPr>
          <w:rFonts w:eastAsia="仿宋_GB2312"/>
          <w:kern w:val="0"/>
          <w:sz w:val="32"/>
          <w:szCs w:val="32"/>
        </w:rPr>
        <w:t>坚持</w:t>
      </w:r>
      <w:r>
        <w:rPr>
          <w:rFonts w:hint="eastAsia" w:eastAsia="仿宋_GB2312"/>
          <w:kern w:val="0"/>
          <w:sz w:val="32"/>
          <w:szCs w:val="32"/>
        </w:rPr>
        <w:t>“</w:t>
      </w:r>
      <w:r>
        <w:rPr>
          <w:rFonts w:eastAsia="仿宋_GB2312"/>
          <w:kern w:val="0"/>
          <w:sz w:val="32"/>
          <w:szCs w:val="32"/>
        </w:rPr>
        <w:t>以文强旅、以旅兴文</w:t>
      </w:r>
      <w:r>
        <w:rPr>
          <w:rFonts w:hint="eastAsia" w:eastAsia="仿宋_GB2312"/>
          <w:kern w:val="0"/>
          <w:sz w:val="32"/>
          <w:szCs w:val="32"/>
        </w:rPr>
        <w:t>”</w:t>
      </w:r>
      <w:r>
        <w:rPr>
          <w:rFonts w:eastAsia="仿宋_GB2312"/>
          <w:kern w:val="0"/>
          <w:sz w:val="32"/>
          <w:szCs w:val="32"/>
        </w:rPr>
        <w:t>，统筹</w:t>
      </w:r>
      <w:r>
        <w:rPr>
          <w:rFonts w:hint="eastAsia" w:eastAsia="仿宋_GB2312"/>
          <w:kern w:val="0"/>
          <w:sz w:val="32"/>
          <w:szCs w:val="32"/>
        </w:rPr>
        <w:t>“</w:t>
      </w:r>
      <w:r>
        <w:rPr>
          <w:rFonts w:eastAsia="仿宋_GB2312"/>
          <w:kern w:val="0"/>
          <w:sz w:val="32"/>
          <w:szCs w:val="32"/>
        </w:rPr>
        <w:t>生态+</w:t>
      </w:r>
      <w:r>
        <w:rPr>
          <w:rFonts w:hint="eastAsia" w:eastAsia="仿宋_GB2312"/>
          <w:kern w:val="0"/>
          <w:sz w:val="32"/>
          <w:szCs w:val="32"/>
        </w:rPr>
        <w:t>”</w:t>
      </w:r>
      <w:r>
        <w:rPr>
          <w:rFonts w:eastAsia="仿宋_GB2312"/>
          <w:kern w:val="0"/>
          <w:sz w:val="32"/>
          <w:szCs w:val="32"/>
        </w:rPr>
        <w:t>旅游要素建设，推动形成文化与旅游融合发展的格局，保障以生态为底色、文化为特色、旅游产业为支撑的旅游建设用地需求。推动黄河</w:t>
      </w:r>
      <w:r>
        <w:rPr>
          <w:rFonts w:hint="eastAsia" w:eastAsia="仿宋_GB2312"/>
          <w:kern w:val="0"/>
          <w:sz w:val="32"/>
          <w:szCs w:val="32"/>
        </w:rPr>
        <w:t>“</w:t>
      </w:r>
      <w:r>
        <w:rPr>
          <w:rFonts w:eastAsia="仿宋_GB2312"/>
          <w:kern w:val="0"/>
          <w:sz w:val="32"/>
          <w:szCs w:val="32"/>
        </w:rPr>
        <w:t>几</w:t>
      </w:r>
      <w:r>
        <w:rPr>
          <w:rFonts w:hint="eastAsia" w:eastAsia="仿宋_GB2312"/>
          <w:kern w:val="0"/>
          <w:sz w:val="32"/>
          <w:szCs w:val="32"/>
        </w:rPr>
        <w:t>”</w:t>
      </w:r>
      <w:r>
        <w:rPr>
          <w:rFonts w:eastAsia="仿宋_GB2312"/>
          <w:kern w:val="0"/>
          <w:sz w:val="32"/>
          <w:szCs w:val="32"/>
        </w:rPr>
        <w:t>字弯等重点文化旅游产业项目、龙头文化旅游企业培育、近郊游提升等工程建设。培育乡村旅游示范区建设，保障旅游基础设施、公共服务设施等用地空间，推动旅游景区提档升级。推进文化产业区和区域文化产业带建设。推动旅游风景道、自驾车旅游精品线路、自驾车营地等建设。支持呼和浩特市等智慧旅游城市建设工作。</w:t>
      </w:r>
      <w:bookmarkStart w:id="207" w:name="_Toc57879448"/>
      <w:bookmarkStart w:id="208" w:name="_Toc58653795"/>
      <w:bookmarkStart w:id="209" w:name="_Toc63629772"/>
      <w:bookmarkStart w:id="210" w:name="_Toc60479434"/>
      <w:bookmarkStart w:id="211" w:name="_Toc57879240"/>
      <w:bookmarkStart w:id="212" w:name="_Toc58138523"/>
      <w:bookmarkStart w:id="213" w:name="_Toc58653801"/>
      <w:bookmarkStart w:id="214" w:name="_Toc60224211"/>
    </w:p>
    <w:p w14:paraId="122980A6">
      <w:pPr>
        <w:spacing w:after="312" w:afterLines="100"/>
        <w:jc w:val="center"/>
        <w:outlineLvl w:val="0"/>
        <w:rPr>
          <w:rFonts w:hint="eastAsia" w:ascii="方正小标宋简体" w:eastAsia="方正小标宋简体"/>
          <w:sz w:val="36"/>
          <w:szCs w:val="32"/>
        </w:rPr>
      </w:pPr>
      <w:r>
        <w:rPr>
          <w:rFonts w:eastAsia="方正小标宋_GBK"/>
          <w:sz w:val="40"/>
          <w:szCs w:val="32"/>
        </w:rPr>
        <w:br w:type="page"/>
      </w:r>
      <w:bookmarkStart w:id="215" w:name="_Toc155861075"/>
      <w:bookmarkStart w:id="216" w:name="_Toc160715653"/>
      <w:r>
        <w:rPr>
          <w:rFonts w:hint="eastAsia" w:ascii="方正小标宋简体" w:eastAsia="方正小标宋简体"/>
          <w:sz w:val="36"/>
          <w:szCs w:val="32"/>
        </w:rPr>
        <w:t>第八章 加强区域协调联动</w:t>
      </w:r>
      <w:bookmarkEnd w:id="207"/>
      <w:bookmarkEnd w:id="208"/>
      <w:bookmarkEnd w:id="209"/>
      <w:bookmarkEnd w:id="210"/>
      <w:bookmarkEnd w:id="211"/>
      <w:bookmarkEnd w:id="212"/>
      <w:bookmarkEnd w:id="215"/>
      <w:bookmarkEnd w:id="216"/>
    </w:p>
    <w:p w14:paraId="5EC99215">
      <w:pPr>
        <w:spacing w:line="600" w:lineRule="exact"/>
        <w:ind w:firstLine="640" w:firstLineChars="200"/>
        <w:rPr>
          <w:rFonts w:eastAsia="仿宋_GB2312"/>
          <w:kern w:val="0"/>
          <w:sz w:val="32"/>
          <w:szCs w:val="32"/>
        </w:rPr>
      </w:pPr>
      <w:r>
        <w:rPr>
          <w:rFonts w:eastAsia="仿宋_GB2312"/>
          <w:kern w:val="0"/>
          <w:sz w:val="32"/>
          <w:szCs w:val="32"/>
        </w:rPr>
        <w:t>深入实施区域协调发展战略、区域重大战略，促进国土空间区域协同发展，推动构建以国内大循环为主体、国内国际双循环相互促进的新发展格局，助力打造向北开放新高地。</w:t>
      </w:r>
    </w:p>
    <w:p w14:paraId="16131A64">
      <w:pPr>
        <w:pStyle w:val="3"/>
        <w:spacing w:before="156" w:beforeLines="50" w:after="156" w:afterLines="50" w:line="600" w:lineRule="exact"/>
        <w:rPr>
          <w:rFonts w:ascii="Times New Roman" w:hAnsi="Times New Roman"/>
          <w:b w:val="0"/>
          <w:bCs w:val="0"/>
        </w:rPr>
      </w:pPr>
      <w:bookmarkStart w:id="217" w:name="_Toc160715654"/>
      <w:bookmarkStart w:id="218" w:name="_Toc58653796"/>
      <w:bookmarkStart w:id="219" w:name="_Toc57879449"/>
      <w:bookmarkStart w:id="220" w:name="_Toc63629773"/>
      <w:bookmarkStart w:id="221" w:name="_Toc57879241"/>
      <w:bookmarkStart w:id="222" w:name="_Toc60479435"/>
      <w:bookmarkStart w:id="223" w:name="_Toc155861076"/>
      <w:bookmarkStart w:id="224" w:name="_Toc58138524"/>
      <w:r>
        <w:rPr>
          <w:rFonts w:ascii="Times New Roman" w:hAnsi="Times New Roman"/>
          <w:b w:val="0"/>
          <w:bCs w:val="0"/>
        </w:rPr>
        <w:t>第一节 助力高水平对外开放</w:t>
      </w:r>
      <w:bookmarkEnd w:id="217"/>
      <w:bookmarkEnd w:id="218"/>
      <w:bookmarkEnd w:id="219"/>
      <w:bookmarkEnd w:id="220"/>
      <w:bookmarkEnd w:id="221"/>
      <w:bookmarkEnd w:id="222"/>
      <w:bookmarkEnd w:id="223"/>
      <w:bookmarkEnd w:id="224"/>
    </w:p>
    <w:p w14:paraId="2A1375C8">
      <w:pPr>
        <w:spacing w:line="600" w:lineRule="exact"/>
        <w:ind w:firstLine="640" w:firstLineChars="200"/>
        <w:rPr>
          <w:rFonts w:eastAsia="仿宋_GB2312"/>
          <w:kern w:val="0"/>
          <w:sz w:val="32"/>
          <w:szCs w:val="32"/>
        </w:rPr>
      </w:pPr>
      <w:r>
        <w:rPr>
          <w:rFonts w:eastAsia="楷体_GB2312"/>
          <w:bCs/>
          <w:kern w:val="0"/>
          <w:sz w:val="32"/>
          <w:szCs w:val="32"/>
        </w:rPr>
        <w:t>深度融入共建</w:t>
      </w:r>
      <w:r>
        <w:rPr>
          <w:rFonts w:hint="eastAsia" w:eastAsia="楷体_GB2312"/>
          <w:bCs/>
          <w:kern w:val="0"/>
          <w:sz w:val="32"/>
          <w:szCs w:val="32"/>
        </w:rPr>
        <w:t>“</w:t>
      </w:r>
      <w:r>
        <w:rPr>
          <w:rFonts w:eastAsia="楷体_GB2312"/>
          <w:bCs/>
          <w:kern w:val="0"/>
          <w:sz w:val="32"/>
          <w:szCs w:val="32"/>
        </w:rPr>
        <w:t>一带一路</w:t>
      </w:r>
      <w:r>
        <w:rPr>
          <w:rFonts w:hint="eastAsia" w:eastAsia="楷体_GB2312"/>
          <w:bCs/>
          <w:kern w:val="0"/>
          <w:sz w:val="32"/>
          <w:szCs w:val="32"/>
        </w:rPr>
        <w:t>”</w:t>
      </w:r>
      <w:r>
        <w:rPr>
          <w:rFonts w:eastAsia="楷体_GB2312"/>
          <w:bCs/>
          <w:kern w:val="0"/>
          <w:sz w:val="32"/>
          <w:szCs w:val="32"/>
        </w:rPr>
        <w:t>。</w:t>
      </w:r>
      <w:r>
        <w:rPr>
          <w:rFonts w:eastAsia="仿宋_GB2312"/>
          <w:kern w:val="0"/>
          <w:sz w:val="32"/>
          <w:szCs w:val="32"/>
        </w:rPr>
        <w:t>发挥内蒙古</w:t>
      </w:r>
      <w:r>
        <w:rPr>
          <w:rFonts w:hint="eastAsia" w:eastAsia="仿宋_GB2312"/>
          <w:kern w:val="0"/>
          <w:sz w:val="32"/>
          <w:szCs w:val="32"/>
        </w:rPr>
        <w:t>自治区</w:t>
      </w:r>
      <w:r>
        <w:rPr>
          <w:rFonts w:eastAsia="仿宋_GB2312"/>
          <w:kern w:val="0"/>
          <w:sz w:val="32"/>
          <w:szCs w:val="32"/>
        </w:rPr>
        <w:t>祖国北大门的区位优势，深化资源开发利用、基础设施建设等领域合作，重点加强中欧班列东线和中线交通廊道建设，加强对口岸基础设施、海关特殊监管区、跨境合作区</w:t>
      </w:r>
      <w:r>
        <w:rPr>
          <w:rFonts w:hint="eastAsia" w:eastAsia="仿宋_GB2312"/>
          <w:kern w:val="0"/>
          <w:sz w:val="32"/>
          <w:szCs w:val="32"/>
        </w:rPr>
        <w:t>、自由贸易试验区</w:t>
      </w:r>
      <w:r>
        <w:rPr>
          <w:rFonts w:eastAsia="仿宋_GB2312"/>
          <w:kern w:val="0"/>
          <w:sz w:val="32"/>
          <w:szCs w:val="32"/>
        </w:rPr>
        <w:t>用地保障，发展泛口岸经济，推动互联互通，促进</w:t>
      </w:r>
      <w:r>
        <w:rPr>
          <w:rFonts w:hint="eastAsia" w:eastAsia="仿宋_GB2312"/>
          <w:kern w:val="0"/>
          <w:sz w:val="32"/>
          <w:szCs w:val="32"/>
        </w:rPr>
        <w:t>“</w:t>
      </w:r>
      <w:r>
        <w:rPr>
          <w:rFonts w:eastAsia="仿宋_GB2312"/>
          <w:kern w:val="0"/>
          <w:sz w:val="32"/>
          <w:szCs w:val="32"/>
        </w:rPr>
        <w:t>过路经济</w:t>
      </w:r>
      <w:r>
        <w:rPr>
          <w:rFonts w:hint="eastAsia" w:eastAsia="仿宋_GB2312"/>
          <w:kern w:val="0"/>
          <w:sz w:val="32"/>
          <w:szCs w:val="32"/>
        </w:rPr>
        <w:t>”</w:t>
      </w:r>
      <w:r>
        <w:rPr>
          <w:rFonts w:eastAsia="仿宋_GB2312"/>
          <w:kern w:val="0"/>
          <w:sz w:val="32"/>
          <w:szCs w:val="32"/>
        </w:rPr>
        <w:t>向</w:t>
      </w:r>
      <w:r>
        <w:rPr>
          <w:rFonts w:hint="eastAsia" w:eastAsia="仿宋_GB2312"/>
          <w:kern w:val="0"/>
          <w:sz w:val="32"/>
          <w:szCs w:val="32"/>
        </w:rPr>
        <w:t>“</w:t>
      </w:r>
      <w:r>
        <w:rPr>
          <w:rFonts w:eastAsia="仿宋_GB2312"/>
          <w:kern w:val="0"/>
          <w:sz w:val="32"/>
          <w:szCs w:val="32"/>
        </w:rPr>
        <w:t>落地经济</w:t>
      </w:r>
      <w:r>
        <w:rPr>
          <w:rFonts w:hint="eastAsia" w:eastAsia="仿宋_GB2312"/>
          <w:kern w:val="0"/>
          <w:sz w:val="32"/>
          <w:szCs w:val="32"/>
        </w:rPr>
        <w:t>”</w:t>
      </w:r>
      <w:r>
        <w:rPr>
          <w:rFonts w:eastAsia="仿宋_GB2312"/>
          <w:kern w:val="0"/>
          <w:sz w:val="32"/>
          <w:szCs w:val="32"/>
        </w:rPr>
        <w:t>转变，保障对外开放的重要窗口建设空间。</w:t>
      </w:r>
    </w:p>
    <w:p w14:paraId="1727F42B">
      <w:pPr>
        <w:spacing w:line="600" w:lineRule="exact"/>
        <w:ind w:firstLine="640" w:firstLineChars="200"/>
        <w:rPr>
          <w:rFonts w:eastAsia="仿宋_GB2312"/>
          <w:kern w:val="0"/>
          <w:sz w:val="32"/>
          <w:szCs w:val="32"/>
        </w:rPr>
      </w:pPr>
      <w:r>
        <w:rPr>
          <w:rFonts w:eastAsia="楷体_GB2312"/>
          <w:bCs/>
          <w:kern w:val="0"/>
          <w:sz w:val="32"/>
          <w:szCs w:val="32"/>
        </w:rPr>
        <w:t>保障中蒙俄经济走廊建设空间。</w:t>
      </w:r>
      <w:r>
        <w:rPr>
          <w:rFonts w:eastAsia="仿宋_GB2312"/>
          <w:kern w:val="0"/>
          <w:sz w:val="32"/>
          <w:szCs w:val="32"/>
        </w:rPr>
        <w:t>推动向北开放重要桥头堡建设，引导对外开放的区域</w:t>
      </w:r>
      <w:r>
        <w:rPr>
          <w:rFonts w:hint="eastAsia" w:eastAsia="仿宋_GB2312"/>
          <w:kern w:val="0"/>
          <w:sz w:val="32"/>
          <w:szCs w:val="32"/>
        </w:rPr>
        <w:t>与</w:t>
      </w:r>
      <w:r>
        <w:rPr>
          <w:rFonts w:eastAsia="仿宋_GB2312"/>
          <w:sz w:val="32"/>
          <w:szCs w:val="32"/>
        </w:rPr>
        <w:t>呼包鄂乌一体化发展区域</w:t>
      </w:r>
      <w:r>
        <w:rPr>
          <w:rFonts w:hint="eastAsia" w:eastAsia="仿宋_GB2312"/>
          <w:kern w:val="0"/>
          <w:sz w:val="32"/>
          <w:szCs w:val="32"/>
        </w:rPr>
        <w:t>联动发展</w:t>
      </w:r>
      <w:r>
        <w:rPr>
          <w:rFonts w:eastAsia="仿宋_GB2312"/>
          <w:kern w:val="0"/>
          <w:sz w:val="32"/>
          <w:szCs w:val="32"/>
        </w:rPr>
        <w:t>，强化口岸腹地支撑，积极融入新发展格局，支持海拉尔</w:t>
      </w:r>
      <w:r>
        <w:rPr>
          <w:rFonts w:hint="eastAsia" w:eastAsia="仿宋_GB2312"/>
          <w:kern w:val="0"/>
          <w:sz w:val="32"/>
          <w:szCs w:val="32"/>
        </w:rPr>
        <w:t>区</w:t>
      </w:r>
      <w:r>
        <w:rPr>
          <w:rFonts w:eastAsia="仿宋_GB2312"/>
          <w:kern w:val="0"/>
          <w:sz w:val="32"/>
          <w:szCs w:val="32"/>
        </w:rPr>
        <w:t>积极融入</w:t>
      </w:r>
      <w:r>
        <w:rPr>
          <w:rFonts w:hint="eastAsia" w:eastAsia="仿宋_GB2312"/>
          <w:kern w:val="0"/>
          <w:sz w:val="32"/>
          <w:szCs w:val="32"/>
        </w:rPr>
        <w:t>“海</w:t>
      </w:r>
      <w:r>
        <w:rPr>
          <w:rFonts w:eastAsia="仿宋_GB2312"/>
          <w:kern w:val="0"/>
          <w:sz w:val="32"/>
          <w:szCs w:val="32"/>
        </w:rPr>
        <w:t>拉尔</w:t>
      </w:r>
      <w:r>
        <w:rPr>
          <w:rFonts w:hint="eastAsia" w:eastAsia="仿宋_GB2312"/>
          <w:kern w:val="0"/>
          <w:sz w:val="32"/>
          <w:szCs w:val="32"/>
        </w:rPr>
        <w:t>-</w:t>
      </w:r>
      <w:r>
        <w:rPr>
          <w:rFonts w:eastAsia="仿宋_GB2312"/>
          <w:kern w:val="0"/>
          <w:sz w:val="32"/>
          <w:szCs w:val="32"/>
        </w:rPr>
        <w:t>赤塔</w:t>
      </w:r>
      <w:r>
        <w:rPr>
          <w:rFonts w:hint="eastAsia" w:eastAsia="仿宋_GB2312"/>
          <w:kern w:val="0"/>
          <w:sz w:val="32"/>
          <w:szCs w:val="32"/>
        </w:rPr>
        <w:t>-乔</w:t>
      </w:r>
      <w:r>
        <w:rPr>
          <w:rFonts w:eastAsia="仿宋_GB2312"/>
          <w:kern w:val="0"/>
          <w:sz w:val="32"/>
          <w:szCs w:val="32"/>
        </w:rPr>
        <w:t>巴山</w:t>
      </w:r>
      <w:r>
        <w:rPr>
          <w:rFonts w:hint="eastAsia" w:eastAsia="仿宋_GB2312"/>
          <w:kern w:val="0"/>
          <w:sz w:val="32"/>
          <w:szCs w:val="32"/>
        </w:rPr>
        <w:t>”</w:t>
      </w:r>
      <w:r>
        <w:rPr>
          <w:rFonts w:eastAsia="仿宋_GB2312"/>
          <w:kern w:val="0"/>
          <w:sz w:val="32"/>
          <w:szCs w:val="32"/>
        </w:rPr>
        <w:t>次区域国际合作，预留铁路、公路、航空等基础设施建设空间，推动建成联通俄蒙、畅通东北、连接内地的运输通道和综合立体交通网络。保障满洲里、二连浩特、甘其毛都、策克等重要边境口岸城镇发展建设空间，推动建设战略支点城市、边境合作城市、口岸城镇及各类开放平台，助力打造向北开放的桥头堡。</w:t>
      </w:r>
    </w:p>
    <w:p w14:paraId="7F5B8606">
      <w:pPr>
        <w:pStyle w:val="3"/>
        <w:spacing w:before="156" w:beforeLines="50" w:after="156" w:afterLines="50" w:line="600" w:lineRule="exact"/>
        <w:rPr>
          <w:rFonts w:ascii="Times New Roman" w:hAnsi="Times New Roman"/>
          <w:b w:val="0"/>
          <w:bCs w:val="0"/>
        </w:rPr>
      </w:pPr>
      <w:bookmarkStart w:id="225" w:name="_Toc63629774"/>
      <w:bookmarkStart w:id="226" w:name="_Toc57879242"/>
      <w:bookmarkStart w:id="227" w:name="_Toc160715655"/>
      <w:bookmarkStart w:id="228" w:name="_Toc58138525"/>
      <w:bookmarkStart w:id="229" w:name="_Toc155861077"/>
      <w:bookmarkStart w:id="230" w:name="_Toc58653797"/>
      <w:bookmarkStart w:id="231" w:name="_Toc60479436"/>
      <w:bookmarkStart w:id="232" w:name="_Toc57879450"/>
      <w:r>
        <w:rPr>
          <w:rFonts w:ascii="Times New Roman" w:hAnsi="Times New Roman"/>
          <w:b w:val="0"/>
          <w:bCs w:val="0"/>
        </w:rPr>
        <w:br w:type="page"/>
      </w:r>
      <w:r>
        <w:rPr>
          <w:rFonts w:ascii="Times New Roman" w:hAnsi="Times New Roman"/>
          <w:b w:val="0"/>
          <w:bCs w:val="0"/>
        </w:rPr>
        <w:t>第二节 推动黄河流域协同保护</w:t>
      </w:r>
      <w:bookmarkEnd w:id="225"/>
      <w:bookmarkEnd w:id="226"/>
      <w:bookmarkEnd w:id="227"/>
      <w:bookmarkEnd w:id="228"/>
      <w:bookmarkEnd w:id="229"/>
      <w:bookmarkEnd w:id="230"/>
      <w:bookmarkEnd w:id="231"/>
      <w:bookmarkEnd w:id="232"/>
    </w:p>
    <w:p w14:paraId="0A55D983">
      <w:pPr>
        <w:spacing w:line="600" w:lineRule="exact"/>
        <w:ind w:firstLine="640" w:firstLineChars="200"/>
        <w:rPr>
          <w:rFonts w:eastAsia="仿宋_GB2312"/>
          <w:kern w:val="0"/>
          <w:sz w:val="32"/>
          <w:szCs w:val="32"/>
        </w:rPr>
      </w:pPr>
      <w:r>
        <w:rPr>
          <w:rFonts w:eastAsia="楷体_GB2312"/>
          <w:bCs/>
          <w:kern w:val="0"/>
          <w:sz w:val="32"/>
          <w:szCs w:val="32"/>
        </w:rPr>
        <w:t>推动黄河流域上下游协同保护治理。</w:t>
      </w:r>
      <w:r>
        <w:rPr>
          <w:rFonts w:eastAsia="仿宋_GB2312"/>
          <w:kern w:val="0"/>
          <w:sz w:val="32"/>
          <w:szCs w:val="32"/>
        </w:rPr>
        <w:t>强化省际协同，加强流域上下游空间联动综合整治，开展干支流、左右岸的整体保护开发、修复利用，提升区域整体保护系统治理水平</w:t>
      </w:r>
      <w:r>
        <w:rPr>
          <w:rFonts w:hint="eastAsia" w:eastAsia="仿宋_GB2312"/>
          <w:kern w:val="0"/>
          <w:sz w:val="32"/>
          <w:szCs w:val="32"/>
        </w:rPr>
        <w:t>，推动</w:t>
      </w:r>
      <w:r>
        <w:rPr>
          <w:rFonts w:eastAsia="仿宋_GB2312"/>
          <w:bCs/>
          <w:kern w:val="0"/>
          <w:sz w:val="32"/>
          <w:szCs w:val="32"/>
        </w:rPr>
        <w:t>黄河流域生态协同治理。落实黄河流域生态保护和高质量发展战略，协同推动黄河流域矿区污染治理和生态修复。</w:t>
      </w:r>
      <w:r>
        <w:rPr>
          <w:rFonts w:eastAsia="仿宋_GB2312"/>
          <w:kern w:val="0"/>
          <w:sz w:val="32"/>
          <w:szCs w:val="32"/>
        </w:rPr>
        <w:t>完善水沙调控机制，推动河道和滩区一体治理，加强水环境、水生态、沙漠沙地、水土流失和点面源污染等综合治理，</w:t>
      </w:r>
      <w:r>
        <w:rPr>
          <w:rFonts w:eastAsia="仿宋_GB2312"/>
          <w:bCs/>
          <w:kern w:val="0"/>
          <w:sz w:val="32"/>
          <w:szCs w:val="32"/>
        </w:rPr>
        <w:t>推动黄河粗泥沙集中来源区拦沙工程、乌兰木伦河流域综合治理工程</w:t>
      </w:r>
      <w:r>
        <w:rPr>
          <w:rFonts w:eastAsia="仿宋_GB2312"/>
          <w:kern w:val="0"/>
          <w:sz w:val="32"/>
          <w:szCs w:val="32"/>
        </w:rPr>
        <w:t>。统筹推进库布其、腾格里、乌兰布和、毛乌素等沙漠沙地防治，加强乌海及周边地区历史遗留废弃矿山治理和乌梁素海、岱海等脆弱生态系统修复治理，大力建设沿黄生态带。</w:t>
      </w:r>
    </w:p>
    <w:p w14:paraId="607811F9">
      <w:pPr>
        <w:spacing w:line="600" w:lineRule="exact"/>
        <w:ind w:firstLine="640" w:firstLineChars="200"/>
        <w:rPr>
          <w:rFonts w:eastAsia="仿宋"/>
          <w:sz w:val="32"/>
          <w:szCs w:val="32"/>
        </w:rPr>
      </w:pPr>
      <w:r>
        <w:rPr>
          <w:rFonts w:eastAsia="楷体_GB2312"/>
          <w:bCs/>
          <w:kern w:val="0"/>
          <w:sz w:val="32"/>
          <w:szCs w:val="32"/>
        </w:rPr>
        <w:t>推进黄河流域高质量协同发展。</w:t>
      </w:r>
      <w:r>
        <w:rPr>
          <w:rFonts w:eastAsia="仿宋_GB2312"/>
          <w:kern w:val="0"/>
          <w:sz w:val="32"/>
          <w:szCs w:val="32"/>
        </w:rPr>
        <w:t>黄河流域内蒙古段，既是生态保护重要区，也是内蒙古</w:t>
      </w:r>
      <w:r>
        <w:rPr>
          <w:rFonts w:hint="eastAsia" w:eastAsia="仿宋_GB2312"/>
          <w:kern w:val="0"/>
          <w:sz w:val="32"/>
          <w:szCs w:val="32"/>
        </w:rPr>
        <w:t>自治区</w:t>
      </w:r>
      <w:r>
        <w:rPr>
          <w:rFonts w:eastAsia="仿宋_GB2312"/>
          <w:kern w:val="0"/>
          <w:sz w:val="32"/>
          <w:szCs w:val="32"/>
        </w:rPr>
        <w:t>高质量发展的核心区域。保障集宁</w:t>
      </w:r>
      <w:r>
        <w:rPr>
          <w:rFonts w:hint="eastAsia" w:eastAsia="仿宋_GB2312"/>
          <w:kern w:val="0"/>
          <w:sz w:val="32"/>
          <w:szCs w:val="32"/>
        </w:rPr>
        <w:t>-</w:t>
      </w:r>
      <w:r>
        <w:rPr>
          <w:rFonts w:eastAsia="仿宋_GB2312"/>
          <w:kern w:val="0"/>
          <w:sz w:val="32"/>
          <w:szCs w:val="32"/>
        </w:rPr>
        <w:t>大同、包头</w:t>
      </w:r>
      <w:r>
        <w:rPr>
          <w:rFonts w:hint="eastAsia" w:eastAsia="仿宋_GB2312"/>
          <w:kern w:val="0"/>
          <w:sz w:val="32"/>
          <w:szCs w:val="32"/>
        </w:rPr>
        <w:t>-</w:t>
      </w:r>
      <w:r>
        <w:rPr>
          <w:rFonts w:eastAsia="仿宋_GB2312"/>
          <w:kern w:val="0"/>
          <w:sz w:val="32"/>
          <w:szCs w:val="32"/>
        </w:rPr>
        <w:t>银川、包头</w:t>
      </w:r>
      <w:r>
        <w:rPr>
          <w:rFonts w:hint="eastAsia" w:eastAsia="仿宋_GB2312"/>
          <w:kern w:val="0"/>
          <w:sz w:val="32"/>
          <w:szCs w:val="32"/>
        </w:rPr>
        <w:t>-</w:t>
      </w:r>
      <w:r>
        <w:rPr>
          <w:rFonts w:eastAsia="仿宋_GB2312"/>
          <w:kern w:val="0"/>
          <w:sz w:val="32"/>
          <w:szCs w:val="32"/>
        </w:rPr>
        <w:t>鄂尔多斯</w:t>
      </w:r>
      <w:r>
        <w:rPr>
          <w:rFonts w:hint="eastAsia" w:eastAsia="仿宋_GB2312"/>
          <w:kern w:val="0"/>
          <w:sz w:val="32"/>
          <w:szCs w:val="32"/>
        </w:rPr>
        <w:t>-</w:t>
      </w:r>
      <w:r>
        <w:rPr>
          <w:rFonts w:eastAsia="仿宋_GB2312"/>
          <w:kern w:val="0"/>
          <w:sz w:val="32"/>
          <w:szCs w:val="32"/>
        </w:rPr>
        <w:t>榆林等高铁建设用地空间，着力提升</w:t>
      </w:r>
      <w:r>
        <w:rPr>
          <w:rFonts w:eastAsia="仿宋_GB2312"/>
          <w:sz w:val="32"/>
          <w:szCs w:val="32"/>
        </w:rPr>
        <w:t>呼包鄂乌一体化发展区域</w:t>
      </w:r>
      <w:r>
        <w:rPr>
          <w:rFonts w:eastAsia="仿宋_GB2312"/>
          <w:kern w:val="0"/>
          <w:sz w:val="32"/>
          <w:szCs w:val="32"/>
        </w:rPr>
        <w:t>综合经济实力、资源配置能力、贸易枢纽功能等，加强与周边省区协调联动发展能力，重点推动区域基础设施一体化发展，促进特色产业联动开发，加大绿色产品供给，推动黄河流域内蒙古段生态保护和高质量发展。</w:t>
      </w:r>
    </w:p>
    <w:p w14:paraId="7A5F1DAE">
      <w:pPr>
        <w:spacing w:line="600" w:lineRule="exact"/>
        <w:ind w:firstLine="640" w:firstLineChars="200"/>
        <w:rPr>
          <w:rFonts w:eastAsia="仿宋_GB2312"/>
          <w:kern w:val="0"/>
          <w:sz w:val="32"/>
          <w:szCs w:val="32"/>
        </w:rPr>
      </w:pPr>
      <w:r>
        <w:rPr>
          <w:rFonts w:eastAsia="楷体_GB2312"/>
          <w:bCs/>
          <w:kern w:val="0"/>
          <w:sz w:val="32"/>
          <w:szCs w:val="32"/>
        </w:rPr>
        <w:t>编制实施内蒙古黄河流域国土空间规划。</w:t>
      </w:r>
      <w:r>
        <w:rPr>
          <w:rFonts w:eastAsia="仿宋_GB2312"/>
          <w:kern w:val="0"/>
          <w:sz w:val="32"/>
          <w:szCs w:val="32"/>
        </w:rPr>
        <w:t>分区分段确定功能定位和保护目标，推进资源节约集约利用，实施乌海及周边地区生态环境综合治理，加强生态环境保护，强化国土综合整治和生态修复，大力实施国土绿化行动，确保黄河水质有序改善、生态系统良性循环，推进黄河安澜，保护、传承、弘扬黄河文化，推动黄河流域高质量发展。</w:t>
      </w:r>
    </w:p>
    <w:p w14:paraId="71EEBF5F">
      <w:pPr>
        <w:pStyle w:val="3"/>
        <w:spacing w:before="156" w:beforeLines="50" w:after="156" w:afterLines="50" w:line="600" w:lineRule="exact"/>
        <w:rPr>
          <w:rFonts w:ascii="Times New Roman" w:hAnsi="Times New Roman"/>
          <w:b w:val="0"/>
          <w:bCs w:val="0"/>
        </w:rPr>
      </w:pPr>
      <w:bookmarkStart w:id="233" w:name="_Toc58653798"/>
      <w:bookmarkStart w:id="234" w:name="_Toc60479437"/>
      <w:bookmarkStart w:id="235" w:name="_Toc57879451"/>
      <w:bookmarkStart w:id="236" w:name="_Toc57879243"/>
      <w:bookmarkStart w:id="237" w:name="_Toc58138526"/>
      <w:bookmarkStart w:id="238" w:name="_Toc63629775"/>
      <w:bookmarkStart w:id="239" w:name="_Toc160715656"/>
      <w:bookmarkStart w:id="240" w:name="_Toc155861078"/>
      <w:r>
        <w:rPr>
          <w:rFonts w:ascii="Times New Roman" w:hAnsi="Times New Roman"/>
          <w:b w:val="0"/>
          <w:bCs w:val="0"/>
        </w:rPr>
        <w:t>第三节 强化省际协调</w:t>
      </w:r>
      <w:bookmarkEnd w:id="233"/>
      <w:bookmarkEnd w:id="234"/>
      <w:bookmarkEnd w:id="235"/>
      <w:bookmarkEnd w:id="236"/>
      <w:bookmarkEnd w:id="237"/>
      <w:r>
        <w:rPr>
          <w:rFonts w:ascii="Times New Roman" w:hAnsi="Times New Roman"/>
          <w:b w:val="0"/>
          <w:bCs w:val="0"/>
        </w:rPr>
        <w:t>联动</w:t>
      </w:r>
      <w:bookmarkEnd w:id="238"/>
      <w:bookmarkEnd w:id="239"/>
      <w:bookmarkEnd w:id="240"/>
    </w:p>
    <w:p w14:paraId="2737A710">
      <w:pPr>
        <w:spacing w:line="600" w:lineRule="exact"/>
        <w:ind w:firstLine="640" w:firstLineChars="200"/>
        <w:rPr>
          <w:rFonts w:eastAsia="仿宋_GB2312"/>
          <w:kern w:val="0"/>
          <w:sz w:val="32"/>
          <w:szCs w:val="32"/>
        </w:rPr>
      </w:pPr>
      <w:r>
        <w:rPr>
          <w:rFonts w:eastAsia="楷体_GB2312"/>
          <w:bCs/>
          <w:kern w:val="0"/>
          <w:sz w:val="32"/>
          <w:szCs w:val="32"/>
        </w:rPr>
        <w:t>融入京津冀协同发展。</w:t>
      </w:r>
      <w:r>
        <w:rPr>
          <w:rFonts w:eastAsia="仿宋_GB2312"/>
          <w:kern w:val="0"/>
          <w:sz w:val="32"/>
          <w:szCs w:val="32"/>
        </w:rPr>
        <w:t>推动与京津冀在能源方面的合作，保障呼包鄂</w:t>
      </w:r>
      <w:r>
        <w:rPr>
          <w:rFonts w:hint="eastAsia" w:eastAsia="仿宋_GB2312"/>
          <w:kern w:val="0"/>
          <w:sz w:val="32"/>
          <w:szCs w:val="32"/>
        </w:rPr>
        <w:t>-</w:t>
      </w:r>
      <w:r>
        <w:rPr>
          <w:rFonts w:eastAsia="仿宋_GB2312"/>
          <w:kern w:val="0"/>
          <w:sz w:val="32"/>
          <w:szCs w:val="32"/>
        </w:rPr>
        <w:t>唐山港（天津港）、呼包鄂</w:t>
      </w:r>
      <w:r>
        <w:rPr>
          <w:rFonts w:hint="eastAsia" w:eastAsia="仿宋_GB2312"/>
          <w:kern w:val="0"/>
          <w:sz w:val="32"/>
          <w:szCs w:val="32"/>
        </w:rPr>
        <w:t>-</w:t>
      </w:r>
      <w:r>
        <w:rPr>
          <w:rFonts w:eastAsia="仿宋_GB2312"/>
          <w:kern w:val="0"/>
          <w:sz w:val="32"/>
          <w:szCs w:val="32"/>
        </w:rPr>
        <w:t>秦皇岛、包头</w:t>
      </w:r>
      <w:r>
        <w:rPr>
          <w:rFonts w:hint="eastAsia" w:eastAsia="仿宋_GB2312"/>
          <w:kern w:val="0"/>
          <w:sz w:val="32"/>
          <w:szCs w:val="32"/>
        </w:rPr>
        <w:t>-</w:t>
      </w:r>
      <w:r>
        <w:rPr>
          <w:rFonts w:eastAsia="仿宋_GB2312"/>
          <w:kern w:val="0"/>
          <w:sz w:val="32"/>
          <w:szCs w:val="32"/>
        </w:rPr>
        <w:t>黄骅港等的煤炭资源输出通道</w:t>
      </w:r>
      <w:r>
        <w:rPr>
          <w:rFonts w:hint="eastAsia" w:eastAsia="仿宋_GB2312"/>
          <w:kern w:val="0"/>
          <w:sz w:val="32"/>
          <w:szCs w:val="32"/>
        </w:rPr>
        <w:t>和浑善达克沙地至京津冀输电通道</w:t>
      </w:r>
      <w:r>
        <w:rPr>
          <w:rFonts w:eastAsia="仿宋_GB2312"/>
          <w:kern w:val="0"/>
          <w:sz w:val="32"/>
          <w:szCs w:val="32"/>
        </w:rPr>
        <w:t>用地空间，保障乌兰察布风电基地至京津冀区域输电工程</w:t>
      </w:r>
      <w:r>
        <w:rPr>
          <w:rFonts w:hint="eastAsia" w:eastAsia="仿宋_GB2312"/>
          <w:kern w:val="0"/>
          <w:sz w:val="32"/>
          <w:szCs w:val="32"/>
        </w:rPr>
        <w:t>建设</w:t>
      </w:r>
      <w:r>
        <w:rPr>
          <w:rFonts w:eastAsia="仿宋_GB2312"/>
          <w:kern w:val="0"/>
          <w:sz w:val="32"/>
          <w:szCs w:val="32"/>
        </w:rPr>
        <w:t>。推动融入环渤海地区发展，不断提升产业层次。主动承接科技成果生产加工转化、先进制造业、商贸物流、云计算后台服务等产业转移，发展草原旅游，推动京津冀至呼包鄂、满洲里、锡林浩特、赤峰4条精品旅游线路建设，继续推进京津风沙源治理等生态建设。</w:t>
      </w:r>
    </w:p>
    <w:p w14:paraId="70CFA9B9">
      <w:pPr>
        <w:spacing w:line="600" w:lineRule="exact"/>
        <w:ind w:firstLine="640" w:firstLineChars="200"/>
        <w:rPr>
          <w:rFonts w:eastAsia="仿宋_GB2312"/>
          <w:kern w:val="0"/>
          <w:sz w:val="32"/>
          <w:szCs w:val="32"/>
        </w:rPr>
      </w:pPr>
      <w:r>
        <w:rPr>
          <w:rFonts w:eastAsia="楷体_GB2312"/>
          <w:bCs/>
          <w:kern w:val="0"/>
          <w:sz w:val="32"/>
          <w:szCs w:val="32"/>
        </w:rPr>
        <w:t>推进与东北三省的协调联动。</w:t>
      </w:r>
      <w:r>
        <w:rPr>
          <w:rFonts w:eastAsia="仿宋_GB2312"/>
          <w:kern w:val="0"/>
          <w:sz w:val="32"/>
          <w:szCs w:val="32"/>
        </w:rPr>
        <w:t>助力与东北三省在生态、电力等全方位的合作，协同推进齐齐哈尔至海拉尔、海拉尔至黑山头铁路</w:t>
      </w:r>
      <w:r>
        <w:rPr>
          <w:rFonts w:hint="eastAsia" w:eastAsia="仿宋_GB2312"/>
          <w:kern w:val="0"/>
          <w:sz w:val="32"/>
          <w:szCs w:val="32"/>
        </w:rPr>
        <w:t>、</w:t>
      </w:r>
      <w:r>
        <w:rPr>
          <w:rFonts w:eastAsia="仿宋_GB2312"/>
          <w:kern w:val="0"/>
          <w:sz w:val="32"/>
          <w:szCs w:val="32"/>
        </w:rPr>
        <w:t>齐齐哈尔至满洲里客专、齐齐哈尔至通辽客专等跨区域交通基础设施建设，推动建立蒙东</w:t>
      </w:r>
      <w:r>
        <w:rPr>
          <w:rFonts w:hint="eastAsia" w:eastAsia="仿宋_GB2312"/>
          <w:kern w:val="0"/>
          <w:sz w:val="32"/>
          <w:szCs w:val="32"/>
        </w:rPr>
        <w:t>五</w:t>
      </w:r>
      <w:r>
        <w:rPr>
          <w:rFonts w:eastAsia="仿宋_GB2312"/>
          <w:kern w:val="0"/>
          <w:sz w:val="32"/>
          <w:szCs w:val="32"/>
        </w:rPr>
        <w:t>盟市</w:t>
      </w:r>
      <w:r>
        <w:rPr>
          <w:rFonts w:hint="eastAsia" w:eastAsia="仿宋_GB2312"/>
          <w:kern w:val="0"/>
          <w:sz w:val="32"/>
          <w:szCs w:val="32"/>
        </w:rPr>
        <w:t>（呼伦贝尔市、兴安盟、通辽市、赤峰市、锡林郭勒盟）-</w:t>
      </w:r>
      <w:r>
        <w:rPr>
          <w:rFonts w:eastAsia="仿宋_GB2312"/>
          <w:kern w:val="0"/>
          <w:sz w:val="32"/>
          <w:szCs w:val="32"/>
        </w:rPr>
        <w:t>东北三省</w:t>
      </w:r>
      <w:r>
        <w:rPr>
          <w:rFonts w:hint="eastAsia" w:eastAsia="仿宋_GB2312"/>
          <w:kern w:val="0"/>
          <w:sz w:val="32"/>
          <w:szCs w:val="32"/>
        </w:rPr>
        <w:t>-</w:t>
      </w:r>
      <w:r>
        <w:rPr>
          <w:rFonts w:eastAsia="仿宋_GB2312"/>
          <w:kern w:val="0"/>
          <w:sz w:val="32"/>
          <w:szCs w:val="32"/>
        </w:rPr>
        <w:t>东南沿海的跨地区合作网络，推进原材料领域的产业对接，加快自治区资源型企业延伸发展。深化国家级、自治区级开发区与辽宁沿海港口的合作，保障临港产业园建设空间。构建</w:t>
      </w:r>
      <w:r>
        <w:rPr>
          <w:rFonts w:hint="eastAsia" w:eastAsia="仿宋_GB2312"/>
          <w:kern w:val="0"/>
          <w:sz w:val="32"/>
          <w:szCs w:val="32"/>
        </w:rPr>
        <w:t>兴白齐呼（</w:t>
      </w:r>
      <w:r>
        <w:rPr>
          <w:rFonts w:eastAsia="仿宋_GB2312"/>
          <w:kern w:val="0"/>
          <w:sz w:val="32"/>
          <w:szCs w:val="32"/>
        </w:rPr>
        <w:t>兴安盟</w:t>
      </w:r>
      <w:r>
        <w:rPr>
          <w:rFonts w:hint="eastAsia" w:eastAsia="仿宋_GB2312"/>
          <w:kern w:val="0"/>
          <w:sz w:val="32"/>
          <w:szCs w:val="32"/>
        </w:rPr>
        <w:t>、</w:t>
      </w:r>
      <w:r>
        <w:rPr>
          <w:rFonts w:eastAsia="仿宋_GB2312"/>
          <w:kern w:val="0"/>
          <w:sz w:val="32"/>
          <w:szCs w:val="32"/>
        </w:rPr>
        <w:t>白城</w:t>
      </w:r>
      <w:r>
        <w:rPr>
          <w:rFonts w:hint="eastAsia" w:eastAsia="仿宋_GB2312"/>
          <w:kern w:val="0"/>
          <w:sz w:val="32"/>
          <w:szCs w:val="32"/>
        </w:rPr>
        <w:t>市、</w:t>
      </w:r>
      <w:r>
        <w:rPr>
          <w:rFonts w:eastAsia="仿宋_GB2312"/>
          <w:kern w:val="0"/>
          <w:sz w:val="32"/>
          <w:szCs w:val="32"/>
        </w:rPr>
        <w:t>齐齐哈尔</w:t>
      </w:r>
      <w:r>
        <w:rPr>
          <w:rFonts w:hint="eastAsia" w:eastAsia="仿宋_GB2312"/>
          <w:kern w:val="0"/>
          <w:sz w:val="32"/>
          <w:szCs w:val="32"/>
        </w:rPr>
        <w:t>市、</w:t>
      </w:r>
      <w:r>
        <w:rPr>
          <w:rFonts w:eastAsia="仿宋_GB2312"/>
          <w:kern w:val="0"/>
          <w:sz w:val="32"/>
          <w:szCs w:val="32"/>
        </w:rPr>
        <w:t>呼伦贝尔</w:t>
      </w:r>
      <w:r>
        <w:rPr>
          <w:rFonts w:hint="eastAsia" w:eastAsia="仿宋_GB2312"/>
          <w:kern w:val="0"/>
          <w:sz w:val="32"/>
          <w:szCs w:val="32"/>
        </w:rPr>
        <w:t>市）</w:t>
      </w:r>
      <w:r>
        <w:rPr>
          <w:rFonts w:eastAsia="仿宋_GB2312"/>
          <w:kern w:val="0"/>
          <w:sz w:val="32"/>
          <w:szCs w:val="32"/>
        </w:rPr>
        <w:t>跨省生态经济合作区，加强大兴安岭林区一体化生态保护，推进科尔沁沙地综合治理；推进辽河、松花江等跨界河流沿线城镇污染防治，优化水资源配置，保证下游水资源敏感区生态流量和生态安全；加强</w:t>
      </w:r>
      <w:r>
        <w:rPr>
          <w:rFonts w:hint="eastAsia" w:eastAsia="仿宋_GB2312"/>
          <w:kern w:val="0"/>
          <w:sz w:val="32"/>
          <w:szCs w:val="32"/>
        </w:rPr>
        <w:t>与东北</w:t>
      </w:r>
      <w:r>
        <w:rPr>
          <w:rFonts w:eastAsia="仿宋_GB2312"/>
          <w:kern w:val="0"/>
          <w:sz w:val="32"/>
          <w:szCs w:val="32"/>
        </w:rPr>
        <w:t>三省协调协作，共同推动松嫩鹤乡、大兴安岭国家公园设立和建设。</w:t>
      </w:r>
    </w:p>
    <w:p w14:paraId="2EE9F9F4">
      <w:pPr>
        <w:pStyle w:val="27"/>
        <w:spacing w:after="0" w:line="600" w:lineRule="exact"/>
        <w:ind w:left="0" w:leftChars="0" w:firstLine="640" w:firstLineChars="200"/>
        <w:rPr>
          <w:rFonts w:eastAsia="仿宋_GB2312"/>
          <w:kern w:val="0"/>
          <w:sz w:val="32"/>
          <w:szCs w:val="32"/>
        </w:rPr>
      </w:pPr>
      <w:r>
        <w:rPr>
          <w:rFonts w:eastAsia="楷体_GB2312"/>
          <w:bCs/>
          <w:kern w:val="0"/>
          <w:sz w:val="32"/>
          <w:szCs w:val="32"/>
        </w:rPr>
        <w:t>促进与晋陕甘宁的协调联动。</w:t>
      </w:r>
      <w:r>
        <w:rPr>
          <w:rFonts w:eastAsia="仿宋_GB2312"/>
          <w:kern w:val="0"/>
          <w:sz w:val="32"/>
          <w:szCs w:val="32"/>
        </w:rPr>
        <w:t>抢抓实施黄河流域生态保护和高质量发展、推进新一轮西部大开发的战略契机，加强与晋陕甘宁国土空间保护开发和生态修复的统筹协调，联合推动国家南水北调西线工程项目实施，强化与陕西、宁夏、山西等省</w:t>
      </w:r>
      <w:r>
        <w:rPr>
          <w:rFonts w:hint="eastAsia" w:eastAsia="仿宋_GB2312"/>
          <w:kern w:val="0"/>
          <w:sz w:val="32"/>
          <w:szCs w:val="32"/>
        </w:rPr>
        <w:t>区</w:t>
      </w:r>
      <w:r>
        <w:rPr>
          <w:rFonts w:eastAsia="仿宋_GB2312"/>
          <w:kern w:val="0"/>
          <w:sz w:val="32"/>
          <w:szCs w:val="32"/>
        </w:rPr>
        <w:t>的水资源协调，加大与甘肃</w:t>
      </w:r>
      <w:r>
        <w:rPr>
          <w:rFonts w:hint="eastAsia" w:eastAsia="仿宋_GB2312"/>
          <w:kern w:val="0"/>
          <w:sz w:val="32"/>
          <w:szCs w:val="32"/>
        </w:rPr>
        <w:t>省</w:t>
      </w:r>
      <w:r>
        <w:rPr>
          <w:rFonts w:eastAsia="仿宋_GB2312"/>
          <w:kern w:val="0"/>
          <w:sz w:val="32"/>
          <w:szCs w:val="32"/>
        </w:rPr>
        <w:t>水资源协调合作力度，合理分配黑河流域水量指标，联合开展水环境治理。与宁夏</w:t>
      </w:r>
      <w:r>
        <w:rPr>
          <w:rFonts w:hint="eastAsia" w:eastAsia="仿宋_GB2312"/>
          <w:kern w:val="0"/>
          <w:sz w:val="32"/>
          <w:szCs w:val="32"/>
        </w:rPr>
        <w:t>回族自治区</w:t>
      </w:r>
      <w:r>
        <w:rPr>
          <w:rFonts w:eastAsia="仿宋_GB2312"/>
          <w:kern w:val="0"/>
          <w:sz w:val="32"/>
          <w:szCs w:val="32"/>
        </w:rPr>
        <w:t>共同推动贺兰山国家公园设立和建设。加强与陕西</w:t>
      </w:r>
      <w:r>
        <w:rPr>
          <w:rFonts w:hint="eastAsia" w:eastAsia="仿宋_GB2312"/>
          <w:kern w:val="0"/>
          <w:sz w:val="32"/>
          <w:szCs w:val="32"/>
        </w:rPr>
        <w:t>省</w:t>
      </w:r>
      <w:r>
        <w:rPr>
          <w:rFonts w:eastAsia="仿宋_GB2312"/>
          <w:kern w:val="0"/>
          <w:sz w:val="32"/>
          <w:szCs w:val="32"/>
        </w:rPr>
        <w:t>协同，联合创建毛乌素沙地综合治理示范区，加强荒漠化治理合作，探索产业化治理荒漠模式，推进</w:t>
      </w:r>
      <w:r>
        <w:rPr>
          <w:rFonts w:hint="eastAsia" w:eastAsia="仿宋_GB2312"/>
          <w:kern w:val="0"/>
          <w:sz w:val="32"/>
          <w:szCs w:val="32"/>
        </w:rPr>
        <w:t>“</w:t>
      </w:r>
      <w:r>
        <w:rPr>
          <w:rFonts w:eastAsia="仿宋_GB2312"/>
          <w:kern w:val="0"/>
          <w:sz w:val="32"/>
          <w:szCs w:val="32"/>
        </w:rPr>
        <w:t>三北</w:t>
      </w:r>
      <w:r>
        <w:rPr>
          <w:rFonts w:hint="eastAsia" w:eastAsia="仿宋_GB2312"/>
          <w:kern w:val="0"/>
          <w:sz w:val="32"/>
          <w:szCs w:val="32"/>
        </w:rPr>
        <w:t>”</w:t>
      </w:r>
      <w:r>
        <w:rPr>
          <w:rFonts w:eastAsia="仿宋_GB2312"/>
          <w:kern w:val="0"/>
          <w:sz w:val="32"/>
          <w:szCs w:val="32"/>
        </w:rPr>
        <w:t>防护林、天然林保护、水土保持、京津风沙源治理等生态工程实施。</w:t>
      </w:r>
    </w:p>
    <w:p w14:paraId="4B004BCC">
      <w:pPr>
        <w:pStyle w:val="27"/>
        <w:spacing w:after="0" w:line="600" w:lineRule="exact"/>
        <w:ind w:left="0" w:leftChars="0" w:firstLine="640" w:firstLineChars="200"/>
        <w:rPr>
          <w:rFonts w:eastAsia="仿宋_GB2312"/>
          <w:kern w:val="0"/>
          <w:sz w:val="32"/>
          <w:szCs w:val="32"/>
        </w:rPr>
      </w:pPr>
      <w:r>
        <w:rPr>
          <w:rFonts w:eastAsia="仿宋_GB2312"/>
          <w:kern w:val="0"/>
          <w:sz w:val="32"/>
          <w:szCs w:val="32"/>
        </w:rPr>
        <w:t>以鄂尔多斯</w:t>
      </w:r>
      <w:r>
        <w:rPr>
          <w:rFonts w:hint="eastAsia" w:eastAsia="仿宋_GB2312"/>
          <w:kern w:val="0"/>
          <w:sz w:val="32"/>
          <w:szCs w:val="32"/>
        </w:rPr>
        <w:t>市</w:t>
      </w:r>
      <w:r>
        <w:rPr>
          <w:rFonts w:eastAsia="仿宋_GB2312"/>
          <w:kern w:val="0"/>
          <w:sz w:val="32"/>
          <w:szCs w:val="32"/>
        </w:rPr>
        <w:t>、阿拉善</w:t>
      </w:r>
      <w:r>
        <w:rPr>
          <w:rFonts w:hint="eastAsia" w:eastAsia="仿宋_GB2312"/>
          <w:kern w:val="0"/>
          <w:sz w:val="32"/>
          <w:szCs w:val="32"/>
        </w:rPr>
        <w:t>盟</w:t>
      </w:r>
      <w:r>
        <w:rPr>
          <w:rFonts w:eastAsia="仿宋_GB2312"/>
          <w:kern w:val="0"/>
          <w:sz w:val="32"/>
          <w:szCs w:val="32"/>
        </w:rPr>
        <w:t>为重点，保障与晋陕甘宁共建的国家综合能源基地、合作试验区、新能源新材料创新区用地空间，共建区域能源通道，落实西电东送、西气东输国家战略，推进鄂尔多斯</w:t>
      </w:r>
      <w:r>
        <w:rPr>
          <w:rFonts w:hint="eastAsia" w:eastAsia="仿宋_GB2312"/>
          <w:kern w:val="0"/>
          <w:sz w:val="32"/>
          <w:szCs w:val="32"/>
        </w:rPr>
        <w:t>-</w:t>
      </w:r>
      <w:r>
        <w:rPr>
          <w:rFonts w:eastAsia="仿宋_GB2312"/>
          <w:kern w:val="0"/>
          <w:sz w:val="32"/>
          <w:szCs w:val="32"/>
        </w:rPr>
        <w:t>安平</w:t>
      </w:r>
      <w:r>
        <w:rPr>
          <w:rFonts w:hint="eastAsia" w:eastAsia="仿宋_GB2312"/>
          <w:kern w:val="0"/>
          <w:sz w:val="32"/>
          <w:szCs w:val="32"/>
        </w:rPr>
        <w:t>-</w:t>
      </w:r>
      <w:r>
        <w:rPr>
          <w:rFonts w:eastAsia="仿宋_GB2312"/>
          <w:kern w:val="0"/>
          <w:sz w:val="32"/>
          <w:szCs w:val="32"/>
        </w:rPr>
        <w:t>沧州输气管道建设。实施能化产业协同发展</w:t>
      </w:r>
      <w:r>
        <w:rPr>
          <w:rFonts w:hint="eastAsia" w:eastAsia="仿宋_GB2312"/>
          <w:kern w:val="0"/>
          <w:sz w:val="32"/>
          <w:szCs w:val="32"/>
        </w:rPr>
        <w:t>，</w:t>
      </w:r>
      <w:r>
        <w:rPr>
          <w:rFonts w:eastAsia="仿宋_GB2312"/>
          <w:kern w:val="0"/>
          <w:sz w:val="32"/>
          <w:szCs w:val="32"/>
        </w:rPr>
        <w:t>深化能化产业交流合作，协同打造以鄂尔多斯盆地为核心的能化产业经济带。突出呼包鄂榆城市群能源战略合作，强化产业链融合和区域协作，加快布局一批下游精细化工项目，共同打造国家能源化工基地。推进乌兰木伦镇与大柳塔镇蒙陕经济合作试验区建设。</w:t>
      </w:r>
    </w:p>
    <w:p w14:paraId="4BFA05B6">
      <w:pPr>
        <w:pStyle w:val="27"/>
        <w:spacing w:after="0" w:line="600" w:lineRule="exact"/>
        <w:ind w:left="0" w:leftChars="0" w:firstLine="640" w:firstLineChars="200"/>
        <w:rPr>
          <w:rFonts w:eastAsia="仿宋_GB2312"/>
          <w:kern w:val="0"/>
          <w:sz w:val="32"/>
          <w:szCs w:val="32"/>
        </w:rPr>
      </w:pPr>
      <w:r>
        <w:rPr>
          <w:rFonts w:eastAsia="仿宋_GB2312"/>
          <w:kern w:val="0"/>
          <w:sz w:val="32"/>
          <w:szCs w:val="32"/>
        </w:rPr>
        <w:t>推动与周边区域高铁路网建设，以点串线、以线带面，优化沿线物流枢纽布局，为区域高质量发展提供支撑。预留S37高速与宁夏</w:t>
      </w:r>
      <w:r>
        <w:rPr>
          <w:rFonts w:hint="eastAsia" w:eastAsia="仿宋_GB2312"/>
          <w:kern w:val="0"/>
          <w:sz w:val="32"/>
          <w:szCs w:val="32"/>
        </w:rPr>
        <w:t>回族自治区</w:t>
      </w:r>
      <w:r>
        <w:rPr>
          <w:rFonts w:eastAsia="仿宋_GB2312"/>
          <w:kern w:val="0"/>
          <w:sz w:val="32"/>
          <w:szCs w:val="32"/>
        </w:rPr>
        <w:t>横向连接、银昆高速向北经宁夏</w:t>
      </w:r>
      <w:r>
        <w:rPr>
          <w:rFonts w:hint="eastAsia" w:eastAsia="仿宋_GB2312"/>
          <w:kern w:val="0"/>
          <w:sz w:val="32"/>
          <w:szCs w:val="32"/>
        </w:rPr>
        <w:t>回族自治区</w:t>
      </w:r>
      <w:r>
        <w:rPr>
          <w:rFonts w:eastAsia="仿宋_GB2312"/>
          <w:kern w:val="0"/>
          <w:sz w:val="32"/>
          <w:szCs w:val="32"/>
        </w:rPr>
        <w:t>石嘴山</w:t>
      </w:r>
      <w:r>
        <w:rPr>
          <w:rFonts w:hint="eastAsia" w:eastAsia="仿宋_GB2312"/>
          <w:kern w:val="0"/>
          <w:sz w:val="32"/>
          <w:szCs w:val="32"/>
        </w:rPr>
        <w:t>市</w:t>
      </w:r>
      <w:r>
        <w:rPr>
          <w:rFonts w:eastAsia="仿宋_GB2312"/>
          <w:kern w:val="0"/>
          <w:sz w:val="32"/>
          <w:szCs w:val="32"/>
        </w:rPr>
        <w:t>与荣乌高速连接、乌银高速经宁夏</w:t>
      </w:r>
      <w:r>
        <w:rPr>
          <w:rFonts w:hint="eastAsia" w:eastAsia="仿宋_GB2312"/>
          <w:kern w:val="0"/>
          <w:sz w:val="32"/>
          <w:szCs w:val="32"/>
        </w:rPr>
        <w:t>回族自治区</w:t>
      </w:r>
      <w:r>
        <w:rPr>
          <w:rFonts w:eastAsia="仿宋_GB2312"/>
          <w:kern w:val="0"/>
          <w:sz w:val="32"/>
          <w:szCs w:val="32"/>
        </w:rPr>
        <w:t>石炭井</w:t>
      </w:r>
      <w:r>
        <w:rPr>
          <w:rFonts w:hint="eastAsia" w:eastAsia="仿宋_GB2312"/>
          <w:kern w:val="0"/>
          <w:sz w:val="32"/>
          <w:szCs w:val="32"/>
        </w:rPr>
        <w:t>区</w:t>
      </w:r>
      <w:r>
        <w:rPr>
          <w:rFonts w:eastAsia="仿宋_GB2312"/>
          <w:kern w:val="0"/>
          <w:sz w:val="32"/>
          <w:szCs w:val="32"/>
        </w:rPr>
        <w:t>与京藏高速连接、内蒙古</w:t>
      </w:r>
      <w:r>
        <w:rPr>
          <w:rFonts w:hint="eastAsia" w:eastAsia="仿宋_GB2312"/>
          <w:kern w:val="0"/>
          <w:sz w:val="32"/>
          <w:szCs w:val="32"/>
        </w:rPr>
        <w:t>自治区</w:t>
      </w:r>
      <w:r>
        <w:rPr>
          <w:rFonts w:eastAsia="仿宋_GB2312"/>
          <w:kern w:val="0"/>
          <w:sz w:val="32"/>
          <w:szCs w:val="32"/>
        </w:rPr>
        <w:t>乌力吉口岸经宁夏</w:t>
      </w:r>
      <w:r>
        <w:rPr>
          <w:rFonts w:hint="eastAsia" w:eastAsia="仿宋_GB2312"/>
          <w:kern w:val="0"/>
          <w:sz w:val="32"/>
          <w:szCs w:val="32"/>
        </w:rPr>
        <w:t>回族自治区</w:t>
      </w:r>
      <w:r>
        <w:rPr>
          <w:rFonts w:eastAsia="仿宋_GB2312"/>
          <w:kern w:val="0"/>
          <w:sz w:val="32"/>
          <w:szCs w:val="32"/>
        </w:rPr>
        <w:t>中卫</w:t>
      </w:r>
      <w:r>
        <w:rPr>
          <w:rFonts w:hint="eastAsia" w:eastAsia="仿宋_GB2312"/>
          <w:kern w:val="0"/>
          <w:sz w:val="32"/>
          <w:szCs w:val="32"/>
        </w:rPr>
        <w:t>市</w:t>
      </w:r>
      <w:r>
        <w:rPr>
          <w:rFonts w:eastAsia="仿宋_GB2312"/>
          <w:kern w:val="0"/>
          <w:sz w:val="32"/>
          <w:szCs w:val="32"/>
        </w:rPr>
        <w:t>至陕西</w:t>
      </w:r>
      <w:r>
        <w:rPr>
          <w:rFonts w:hint="eastAsia" w:eastAsia="仿宋_GB2312"/>
          <w:kern w:val="0"/>
          <w:sz w:val="32"/>
          <w:szCs w:val="32"/>
        </w:rPr>
        <w:t>省</w:t>
      </w:r>
      <w:r>
        <w:rPr>
          <w:rFonts w:eastAsia="仿宋_GB2312"/>
          <w:kern w:val="0"/>
          <w:sz w:val="32"/>
          <w:szCs w:val="32"/>
        </w:rPr>
        <w:t>宝鸡</w:t>
      </w:r>
      <w:r>
        <w:rPr>
          <w:rFonts w:hint="eastAsia" w:eastAsia="仿宋_GB2312"/>
          <w:kern w:val="0"/>
          <w:sz w:val="32"/>
          <w:szCs w:val="32"/>
        </w:rPr>
        <w:t>市</w:t>
      </w:r>
      <w:r>
        <w:rPr>
          <w:rFonts w:eastAsia="仿宋_GB2312"/>
          <w:kern w:val="0"/>
          <w:sz w:val="32"/>
          <w:szCs w:val="32"/>
        </w:rPr>
        <w:t>高速等省际通道建设发展空间。加快推进延榆鄂高铁建设，完善城市群交通骨干网络，提升呼包鄂榆城市群内部枢纽互联互通水平。完善蒙陕交界公路网体系，推进榆林至乌审旗高速公路、府神线龙口（蒙陕界）至新庙高速公路、S215线通史至靖边县海则畔（蒙陕界）段建设。</w:t>
      </w:r>
    </w:p>
    <w:p w14:paraId="4060E9BE">
      <w:pPr>
        <w:pStyle w:val="27"/>
        <w:spacing w:after="0" w:line="600" w:lineRule="exact"/>
        <w:ind w:left="0" w:leftChars="0" w:firstLine="640" w:firstLineChars="200"/>
        <w:rPr>
          <w:rFonts w:eastAsia="仿宋_GB2312"/>
          <w:kern w:val="0"/>
          <w:sz w:val="32"/>
          <w:szCs w:val="32"/>
        </w:rPr>
      </w:pPr>
      <w:r>
        <w:rPr>
          <w:rFonts w:eastAsia="仿宋_GB2312"/>
          <w:kern w:val="0"/>
          <w:sz w:val="32"/>
          <w:szCs w:val="32"/>
        </w:rPr>
        <w:t>共谋文旅产业融合发展。共同挖掘黄河和长城的历史文化资源，推动黄河</w:t>
      </w:r>
      <w:r>
        <w:rPr>
          <w:rFonts w:hint="eastAsia" w:eastAsia="仿宋_GB2312"/>
          <w:kern w:val="0"/>
          <w:sz w:val="32"/>
          <w:szCs w:val="32"/>
        </w:rPr>
        <w:t>“</w:t>
      </w:r>
      <w:r>
        <w:rPr>
          <w:rFonts w:eastAsia="仿宋_GB2312"/>
          <w:kern w:val="0"/>
          <w:sz w:val="32"/>
          <w:szCs w:val="32"/>
        </w:rPr>
        <w:t>几</w:t>
      </w:r>
      <w:r>
        <w:rPr>
          <w:rFonts w:hint="eastAsia" w:eastAsia="仿宋_GB2312"/>
          <w:kern w:val="0"/>
          <w:sz w:val="32"/>
          <w:szCs w:val="32"/>
        </w:rPr>
        <w:t>”</w:t>
      </w:r>
      <w:r>
        <w:rPr>
          <w:rFonts w:eastAsia="仿宋_GB2312"/>
          <w:kern w:val="0"/>
          <w:sz w:val="32"/>
          <w:szCs w:val="32"/>
        </w:rPr>
        <w:t>字弯文旅融合产业发展和项目落地，推动两省区资源共享、游客互送、市场联拓。谋划黄河景观风光带、民俗风情带、沙漠生态旅游带、红色研学等一批精品旅游线路，形成集文化体验、生态观光、商务度假、城乡休闲为一体的区域旅游目的地。</w:t>
      </w:r>
    </w:p>
    <w:p w14:paraId="6C712F37">
      <w:pPr>
        <w:spacing w:line="600" w:lineRule="exact"/>
        <w:ind w:firstLine="640" w:firstLineChars="200"/>
        <w:rPr>
          <w:rFonts w:eastAsia="仿宋_GB2312"/>
          <w:kern w:val="0"/>
          <w:sz w:val="32"/>
          <w:szCs w:val="32"/>
        </w:rPr>
      </w:pPr>
      <w:r>
        <w:rPr>
          <w:rFonts w:eastAsia="楷体_GB2312"/>
          <w:bCs/>
          <w:kern w:val="0"/>
          <w:sz w:val="32"/>
          <w:szCs w:val="32"/>
        </w:rPr>
        <w:t>推动呼包鄂榆城市群高质量发展。</w:t>
      </w:r>
      <w:r>
        <w:rPr>
          <w:rFonts w:eastAsia="仿宋_GB2312"/>
          <w:kern w:val="0"/>
          <w:sz w:val="32"/>
          <w:szCs w:val="32"/>
        </w:rPr>
        <w:t>推进区域生态环境共建共保、基础设施互联互通、沿黄生态文化共建共享，优化城市群空间布局，推进与长三角、珠三角城市群的协同高质量发展，重点推动呼和浩特区域中心城市建设，将包头市建成宜居</w:t>
      </w:r>
      <w:r>
        <w:rPr>
          <w:rFonts w:hint="eastAsia" w:eastAsia="仿宋_GB2312"/>
          <w:kern w:val="0"/>
          <w:sz w:val="32"/>
          <w:szCs w:val="32"/>
        </w:rPr>
        <w:t>、</w:t>
      </w:r>
      <w:r>
        <w:rPr>
          <w:rFonts w:eastAsia="仿宋_GB2312"/>
          <w:kern w:val="0"/>
          <w:sz w:val="32"/>
          <w:szCs w:val="32"/>
        </w:rPr>
        <w:t>宜业</w:t>
      </w:r>
      <w:r>
        <w:rPr>
          <w:rFonts w:hint="eastAsia" w:eastAsia="仿宋_GB2312"/>
          <w:kern w:val="0"/>
          <w:sz w:val="32"/>
          <w:szCs w:val="32"/>
        </w:rPr>
        <w:t>、</w:t>
      </w:r>
      <w:r>
        <w:rPr>
          <w:rFonts w:eastAsia="仿宋_GB2312"/>
          <w:kern w:val="0"/>
          <w:sz w:val="32"/>
          <w:szCs w:val="32"/>
        </w:rPr>
        <w:t>宜游的现代工业城市，将鄂尔多斯</w:t>
      </w:r>
      <w:r>
        <w:rPr>
          <w:rFonts w:hint="eastAsia" w:eastAsia="仿宋_GB2312"/>
          <w:kern w:val="0"/>
          <w:sz w:val="32"/>
          <w:szCs w:val="32"/>
        </w:rPr>
        <w:t>市</w:t>
      </w:r>
      <w:r>
        <w:rPr>
          <w:rFonts w:eastAsia="仿宋_GB2312"/>
          <w:kern w:val="0"/>
          <w:sz w:val="32"/>
          <w:szCs w:val="32"/>
        </w:rPr>
        <w:t>建设成生态、健康、智慧、宜居、宜业、宜游的生态文明城市。保障装备制造、新材料、电子信息、循环经济等领域区域分工协作的建设空间，优化高端能源化工、战略性新兴产业、绿色农畜</w:t>
      </w:r>
      <w:r>
        <w:rPr>
          <w:rFonts w:hint="eastAsia" w:eastAsia="仿宋_GB2312"/>
          <w:kern w:val="0"/>
          <w:sz w:val="32"/>
          <w:szCs w:val="32"/>
        </w:rPr>
        <w:t>产品</w:t>
      </w:r>
      <w:r>
        <w:rPr>
          <w:rFonts w:eastAsia="仿宋_GB2312"/>
          <w:kern w:val="0"/>
          <w:sz w:val="32"/>
          <w:szCs w:val="32"/>
        </w:rPr>
        <w:t>生产加工等优势产业集群空间</w:t>
      </w:r>
      <w:r>
        <w:rPr>
          <w:rFonts w:hint="eastAsia" w:eastAsia="仿宋_GB2312"/>
          <w:kern w:val="0"/>
          <w:sz w:val="32"/>
          <w:szCs w:val="32"/>
        </w:rPr>
        <w:t>布局</w:t>
      </w:r>
      <w:r>
        <w:rPr>
          <w:rFonts w:eastAsia="仿宋_GB2312"/>
          <w:kern w:val="0"/>
          <w:sz w:val="32"/>
          <w:szCs w:val="32"/>
        </w:rPr>
        <w:t>，形成有较强竞争力的城市群。</w:t>
      </w:r>
    </w:p>
    <w:p w14:paraId="30C10E37">
      <w:pPr>
        <w:pStyle w:val="3"/>
        <w:spacing w:before="156" w:beforeLines="50" w:after="156" w:afterLines="50" w:line="600" w:lineRule="exact"/>
        <w:rPr>
          <w:rFonts w:ascii="Times New Roman" w:hAnsi="Times New Roman"/>
          <w:b w:val="0"/>
          <w:bCs w:val="0"/>
        </w:rPr>
      </w:pPr>
      <w:bookmarkStart w:id="241" w:name="_Toc57879244"/>
      <w:bookmarkStart w:id="242" w:name="_Toc57879452"/>
      <w:bookmarkStart w:id="243" w:name="_Toc60479438"/>
      <w:bookmarkStart w:id="244" w:name="_Toc58138527"/>
      <w:bookmarkStart w:id="245" w:name="_Toc58653799"/>
      <w:bookmarkStart w:id="246" w:name="_Toc63629776"/>
      <w:bookmarkStart w:id="247" w:name="_Toc155861079"/>
      <w:bookmarkStart w:id="248" w:name="_Toc160715657"/>
      <w:r>
        <w:rPr>
          <w:rFonts w:ascii="Times New Roman" w:hAnsi="Times New Roman"/>
          <w:b w:val="0"/>
          <w:bCs w:val="0"/>
        </w:rPr>
        <w:t>第四节 推</w:t>
      </w:r>
      <w:bookmarkEnd w:id="241"/>
      <w:bookmarkEnd w:id="242"/>
      <w:bookmarkEnd w:id="243"/>
      <w:bookmarkEnd w:id="244"/>
      <w:bookmarkEnd w:id="245"/>
      <w:r>
        <w:rPr>
          <w:rFonts w:ascii="Times New Roman" w:hAnsi="Times New Roman"/>
          <w:b w:val="0"/>
          <w:bCs w:val="0"/>
        </w:rPr>
        <w:t>进重点地区间协调</w:t>
      </w:r>
      <w:bookmarkEnd w:id="246"/>
      <w:bookmarkEnd w:id="247"/>
      <w:bookmarkEnd w:id="248"/>
    </w:p>
    <w:p w14:paraId="1EECD5F5">
      <w:pPr>
        <w:spacing w:line="600" w:lineRule="exact"/>
        <w:ind w:firstLine="640" w:firstLineChars="200"/>
        <w:rPr>
          <w:rFonts w:eastAsia="仿宋_GB2312"/>
          <w:kern w:val="0"/>
          <w:sz w:val="32"/>
          <w:szCs w:val="32"/>
        </w:rPr>
      </w:pPr>
      <w:r>
        <w:rPr>
          <w:rFonts w:eastAsia="楷体_GB2312"/>
          <w:bCs/>
          <w:kern w:val="0"/>
          <w:sz w:val="32"/>
          <w:szCs w:val="32"/>
        </w:rPr>
        <w:t>统筹东中西部差异化发展。</w:t>
      </w:r>
      <w:r>
        <w:rPr>
          <w:rFonts w:eastAsia="仿宋_GB2312"/>
          <w:kern w:val="0"/>
          <w:sz w:val="32"/>
          <w:szCs w:val="32"/>
        </w:rPr>
        <w:t>坚持共抓大保护、不搞大开发，立足资源环境承载能力，发挥各地区比较优势，东部地区要把保护好大草原、大森林、大河湖、大湿地作为主要任务，支撑高质量建设农畜产品生产基地。中部地区要扩大环境容量和生态空间，立足产业基础和产业集群优势推动高质量发展。西部地区要补齐生态环境短板推动高质量发展，把加强黄河流域生态保护和荒漠化治理挺在前面，严格限制生态极度脆弱区开发，适度发展特色旅游业，共同培育接续替代产业，增强区域发展整体竞争力。</w:t>
      </w:r>
    </w:p>
    <w:p w14:paraId="3342AF26">
      <w:pPr>
        <w:spacing w:line="600" w:lineRule="exact"/>
        <w:ind w:firstLine="640" w:firstLineChars="200"/>
        <w:rPr>
          <w:rFonts w:eastAsia="仿宋_GB2312"/>
          <w:kern w:val="0"/>
          <w:sz w:val="32"/>
          <w:szCs w:val="32"/>
        </w:rPr>
      </w:pPr>
      <w:r>
        <w:rPr>
          <w:rFonts w:eastAsia="楷体_GB2312"/>
          <w:bCs/>
          <w:kern w:val="0"/>
          <w:sz w:val="32"/>
          <w:szCs w:val="32"/>
        </w:rPr>
        <w:t>推动呼包鄂乌一体化发展。</w:t>
      </w:r>
      <w:r>
        <w:rPr>
          <w:rFonts w:eastAsia="仿宋_GB2312"/>
          <w:sz w:val="32"/>
          <w:szCs w:val="32"/>
        </w:rPr>
        <w:t>呼包鄂乌一体化发展区域</w:t>
      </w:r>
      <w:r>
        <w:rPr>
          <w:rFonts w:eastAsia="仿宋_GB2312"/>
          <w:kern w:val="0"/>
          <w:sz w:val="32"/>
          <w:szCs w:val="32"/>
        </w:rPr>
        <w:t>空间相连、经济基础好、交通联系密、协同程度高，是内蒙古</w:t>
      </w:r>
      <w:r>
        <w:rPr>
          <w:rFonts w:hint="eastAsia" w:eastAsia="仿宋_GB2312"/>
          <w:kern w:val="0"/>
          <w:sz w:val="32"/>
          <w:szCs w:val="32"/>
        </w:rPr>
        <w:t>自治区</w:t>
      </w:r>
      <w:r>
        <w:rPr>
          <w:rFonts w:eastAsia="仿宋_GB2312"/>
          <w:kern w:val="0"/>
          <w:sz w:val="32"/>
          <w:szCs w:val="32"/>
        </w:rPr>
        <w:t>发展的重点区域。把握中蒙俄经济走廊建设、西部大开发和融入京津冀城市群的战略机遇，统筹协调区域功能格局，推动在产业分工、交通衔接、生态共育、设施共享和机制创新等领域实现新突破，积极谋划建设对外开放功能区。优化</w:t>
      </w:r>
      <w:r>
        <w:rPr>
          <w:rFonts w:eastAsia="仿宋_GB2312"/>
          <w:sz w:val="32"/>
          <w:szCs w:val="32"/>
        </w:rPr>
        <w:t>呼包鄂乌一体化发展区域</w:t>
      </w:r>
      <w:r>
        <w:rPr>
          <w:rFonts w:eastAsia="仿宋_GB2312"/>
          <w:kern w:val="0"/>
          <w:sz w:val="32"/>
          <w:szCs w:val="32"/>
        </w:rPr>
        <w:t>新兴产业、现代服务业、草原文化旅游基地、新材料基地、产业试验区和示范区布局。</w:t>
      </w:r>
    </w:p>
    <w:p w14:paraId="447CE47D">
      <w:pPr>
        <w:spacing w:line="600" w:lineRule="exact"/>
        <w:ind w:firstLine="640" w:firstLineChars="200"/>
        <w:rPr>
          <w:rFonts w:eastAsia="仿宋_GB2312"/>
          <w:kern w:val="0"/>
          <w:sz w:val="32"/>
          <w:szCs w:val="32"/>
        </w:rPr>
      </w:pPr>
      <w:r>
        <w:rPr>
          <w:rFonts w:eastAsia="楷体_GB2312"/>
          <w:bCs/>
          <w:kern w:val="0"/>
          <w:sz w:val="32"/>
          <w:szCs w:val="32"/>
        </w:rPr>
        <w:t>加强赤通</w:t>
      </w:r>
      <w:r>
        <w:rPr>
          <w:rFonts w:hint="eastAsia" w:eastAsia="楷体_GB2312"/>
          <w:bCs/>
          <w:kern w:val="0"/>
          <w:sz w:val="32"/>
          <w:szCs w:val="32"/>
        </w:rPr>
        <w:t>“</w:t>
      </w:r>
      <w:r>
        <w:rPr>
          <w:rFonts w:eastAsia="楷体_GB2312"/>
          <w:bCs/>
          <w:kern w:val="0"/>
          <w:sz w:val="32"/>
          <w:szCs w:val="32"/>
        </w:rPr>
        <w:t>双子星</w:t>
      </w:r>
      <w:r>
        <w:rPr>
          <w:rFonts w:hint="eastAsia" w:eastAsia="楷体_GB2312"/>
          <w:bCs/>
          <w:kern w:val="0"/>
          <w:sz w:val="32"/>
          <w:szCs w:val="32"/>
        </w:rPr>
        <w:t>”</w:t>
      </w:r>
      <w:r>
        <w:rPr>
          <w:rFonts w:eastAsia="楷体_GB2312"/>
          <w:bCs/>
          <w:kern w:val="0"/>
          <w:sz w:val="32"/>
          <w:szCs w:val="32"/>
        </w:rPr>
        <w:t>区域中心城市协同发展。</w:t>
      </w:r>
      <w:r>
        <w:rPr>
          <w:rFonts w:eastAsia="仿宋_GB2312"/>
          <w:kern w:val="0"/>
          <w:sz w:val="32"/>
          <w:szCs w:val="32"/>
        </w:rPr>
        <w:t>保障区域内新型工业化用地，推动新型城镇化健康发展，促进农牧业现代化。推进赤峰通辽高铁连接线建设，充分发挥各自区位、资源、能源优势，保障产业转型升级空间，推进经济高质量发展，加强生态保护和基础设施建设，提高公共服务能力和要素资源高效配置能力，实现科学发展、和谐发展、同步发展。</w:t>
      </w:r>
    </w:p>
    <w:p w14:paraId="2E154568">
      <w:pPr>
        <w:spacing w:line="600" w:lineRule="exact"/>
        <w:ind w:firstLine="640" w:firstLineChars="200"/>
        <w:rPr>
          <w:rFonts w:hint="eastAsia" w:eastAsia="仿宋_GB2312"/>
          <w:kern w:val="0"/>
          <w:sz w:val="32"/>
          <w:szCs w:val="32"/>
        </w:rPr>
      </w:pPr>
      <w:r>
        <w:rPr>
          <w:rFonts w:eastAsia="楷体_GB2312"/>
          <w:bCs/>
          <w:kern w:val="0"/>
          <w:sz w:val="32"/>
          <w:szCs w:val="32"/>
        </w:rPr>
        <w:t>推进乌海及周边地区生态环境</w:t>
      </w:r>
      <w:r>
        <w:rPr>
          <w:rFonts w:hint="eastAsia" w:eastAsia="楷体_GB2312"/>
          <w:bCs/>
          <w:kern w:val="0"/>
          <w:sz w:val="32"/>
          <w:szCs w:val="32"/>
        </w:rPr>
        <w:t>综合</w:t>
      </w:r>
      <w:r>
        <w:rPr>
          <w:rFonts w:eastAsia="楷体_GB2312"/>
          <w:bCs/>
          <w:kern w:val="0"/>
          <w:sz w:val="32"/>
          <w:szCs w:val="32"/>
        </w:rPr>
        <w:t>治理。</w:t>
      </w:r>
      <w:r>
        <w:rPr>
          <w:rFonts w:eastAsia="仿宋_GB2312"/>
          <w:kern w:val="0"/>
          <w:sz w:val="32"/>
          <w:szCs w:val="32"/>
        </w:rPr>
        <w:t>编制</w:t>
      </w:r>
      <w:r>
        <w:rPr>
          <w:rFonts w:hint="eastAsia" w:eastAsia="仿宋_GB2312"/>
          <w:kern w:val="0"/>
          <w:sz w:val="32"/>
          <w:szCs w:val="32"/>
        </w:rPr>
        <w:t>实施</w:t>
      </w:r>
      <w:r>
        <w:rPr>
          <w:rFonts w:eastAsia="仿宋_GB2312"/>
          <w:kern w:val="0"/>
          <w:sz w:val="32"/>
          <w:szCs w:val="32"/>
        </w:rPr>
        <w:t>乌海及周边地区矿产资源开发和地质环境治理专项规划，划定禁止开采区、限制开采区和允许开采区范围，加快推进绿色矿山建设，强化历史遗留矿山和无主矿山地质环境治理，推动在建矿山集中治理，加大矿山地质环境治理与监督管理力度，扭转生态环境恶化趋势，逐步提升乌海</w:t>
      </w:r>
      <w:r>
        <w:rPr>
          <w:rFonts w:hint="eastAsia" w:eastAsia="仿宋_GB2312"/>
          <w:kern w:val="0"/>
          <w:sz w:val="32"/>
          <w:szCs w:val="32"/>
        </w:rPr>
        <w:t>及</w:t>
      </w:r>
      <w:r>
        <w:rPr>
          <w:rFonts w:eastAsia="仿宋_GB2312"/>
          <w:kern w:val="0"/>
          <w:sz w:val="32"/>
          <w:szCs w:val="32"/>
        </w:rPr>
        <w:t>周边地区黄河流域生态功能。</w:t>
      </w:r>
    </w:p>
    <w:p w14:paraId="0E05E998">
      <w:pPr>
        <w:pStyle w:val="3"/>
        <w:spacing w:before="156" w:beforeLines="50" w:after="156" w:afterLines="50" w:line="600" w:lineRule="exact"/>
        <w:rPr>
          <w:rFonts w:ascii="Times New Roman" w:hAnsi="Times New Roman"/>
          <w:b w:val="0"/>
          <w:bCs w:val="0"/>
        </w:rPr>
      </w:pPr>
      <w:bookmarkStart w:id="249" w:name="_Toc60479439"/>
      <w:bookmarkStart w:id="250" w:name="_Toc63629777"/>
      <w:bookmarkStart w:id="251" w:name="_Toc58653800"/>
      <w:bookmarkStart w:id="252" w:name="_Toc155861080"/>
      <w:bookmarkStart w:id="253" w:name="_Toc160715658"/>
      <w:r>
        <w:rPr>
          <w:rFonts w:ascii="Times New Roman" w:hAnsi="Times New Roman"/>
          <w:b w:val="0"/>
          <w:bCs w:val="0"/>
        </w:rPr>
        <w:t>第五节 保障特殊类型地区发展</w:t>
      </w:r>
      <w:bookmarkEnd w:id="249"/>
      <w:bookmarkEnd w:id="250"/>
      <w:bookmarkEnd w:id="251"/>
      <w:r>
        <w:rPr>
          <w:rFonts w:ascii="Times New Roman" w:hAnsi="Times New Roman"/>
          <w:b w:val="0"/>
          <w:bCs w:val="0"/>
        </w:rPr>
        <w:t>空间</w:t>
      </w:r>
      <w:bookmarkEnd w:id="252"/>
      <w:bookmarkEnd w:id="253"/>
    </w:p>
    <w:p w14:paraId="08B9868F">
      <w:pPr>
        <w:spacing w:line="600" w:lineRule="exact"/>
        <w:ind w:firstLine="640" w:firstLineChars="200"/>
        <w:rPr>
          <w:rFonts w:eastAsia="仿宋_GB2312"/>
          <w:kern w:val="0"/>
          <w:sz w:val="32"/>
          <w:szCs w:val="32"/>
        </w:rPr>
      </w:pPr>
      <w:r>
        <w:rPr>
          <w:rFonts w:eastAsia="楷体_GB2312"/>
          <w:bCs/>
          <w:kern w:val="0"/>
          <w:sz w:val="32"/>
          <w:szCs w:val="32"/>
        </w:rPr>
        <w:t>支持革命老区振兴发展。</w:t>
      </w:r>
      <w:r>
        <w:rPr>
          <w:rFonts w:eastAsia="仿宋_GB2312"/>
          <w:kern w:val="0"/>
          <w:sz w:val="32"/>
          <w:szCs w:val="32"/>
        </w:rPr>
        <w:t>突出红色资源、革命老区和红色基因</w:t>
      </w:r>
      <w:r>
        <w:rPr>
          <w:rFonts w:hint="eastAsia" w:eastAsia="仿宋_GB2312"/>
          <w:kern w:val="0"/>
          <w:sz w:val="32"/>
          <w:szCs w:val="32"/>
        </w:rPr>
        <w:t>传承示范区</w:t>
      </w:r>
      <w:r>
        <w:rPr>
          <w:rFonts w:eastAsia="仿宋_GB2312"/>
          <w:kern w:val="0"/>
          <w:sz w:val="32"/>
          <w:szCs w:val="32"/>
        </w:rPr>
        <w:t>建设，优化红色教育、旅游、人文、特色创新产业</w:t>
      </w:r>
      <w:r>
        <w:rPr>
          <w:rFonts w:hint="eastAsia" w:eastAsia="仿宋_GB2312"/>
          <w:kern w:val="0"/>
          <w:sz w:val="32"/>
          <w:szCs w:val="32"/>
        </w:rPr>
        <w:t>空间</w:t>
      </w:r>
      <w:r>
        <w:rPr>
          <w:rFonts w:eastAsia="仿宋_GB2312"/>
          <w:kern w:val="0"/>
          <w:sz w:val="32"/>
          <w:szCs w:val="32"/>
        </w:rPr>
        <w:t>布局，保障革命老区振兴发展空间，稳步提升革命老区基本公共服务水平，支持乌兰浩特</w:t>
      </w:r>
      <w:r>
        <w:rPr>
          <w:rFonts w:hint="eastAsia" w:eastAsia="仿宋_GB2312"/>
          <w:kern w:val="0"/>
          <w:sz w:val="32"/>
          <w:szCs w:val="32"/>
        </w:rPr>
        <w:t>市</w:t>
      </w:r>
      <w:r>
        <w:rPr>
          <w:rFonts w:eastAsia="仿宋_GB2312"/>
          <w:kern w:val="0"/>
          <w:sz w:val="32"/>
          <w:szCs w:val="32"/>
        </w:rPr>
        <w:t>等25个革命老区振兴发展。</w:t>
      </w:r>
    </w:p>
    <w:p w14:paraId="50792FDE">
      <w:pPr>
        <w:spacing w:line="600" w:lineRule="exact"/>
        <w:ind w:firstLine="640" w:firstLineChars="200"/>
        <w:rPr>
          <w:rFonts w:eastAsia="方正小标宋"/>
          <w:sz w:val="40"/>
          <w:szCs w:val="32"/>
        </w:rPr>
      </w:pPr>
      <w:r>
        <w:rPr>
          <w:rFonts w:eastAsia="楷体_GB2312"/>
          <w:bCs/>
          <w:kern w:val="0"/>
          <w:sz w:val="32"/>
          <w:szCs w:val="32"/>
        </w:rPr>
        <w:t>促进特殊地区转型发展。</w:t>
      </w:r>
      <w:r>
        <w:rPr>
          <w:rFonts w:eastAsia="仿宋_GB2312"/>
          <w:kern w:val="0"/>
          <w:sz w:val="32"/>
          <w:szCs w:val="32"/>
        </w:rPr>
        <w:t>巩固拓展脱贫攻坚成果，支持边境地区、生态退化地区、资源枯竭型地区和老工业地区等特殊类型地区转型发展。因地制宜实施老工业区搬迁改造和采煤沉陷区综合治理。加快重点国有林区森林资源管理、生态保护和林场布局调整。统筹生态退化地区外迁内聚的公共服务用地，保障沿边村镇和通道基础设施建设空间，</w:t>
      </w:r>
      <w:r>
        <w:rPr>
          <w:rFonts w:hint="eastAsia" w:eastAsia="仿宋_GB2312"/>
          <w:kern w:val="0"/>
          <w:sz w:val="32"/>
          <w:szCs w:val="32"/>
        </w:rPr>
        <w:t>推动</w:t>
      </w:r>
      <w:r>
        <w:rPr>
          <w:rFonts w:eastAsia="仿宋_GB2312"/>
          <w:kern w:val="0"/>
          <w:sz w:val="32"/>
          <w:szCs w:val="32"/>
        </w:rPr>
        <w:t>边境边界协同共治，增强守边固边、兴边富民能力，促进生态保护与合理利用相协调。</w:t>
      </w:r>
      <w:bookmarkEnd w:id="213"/>
      <w:bookmarkEnd w:id="214"/>
    </w:p>
    <w:p w14:paraId="689C76C2">
      <w:pPr>
        <w:spacing w:after="312" w:afterLines="100"/>
        <w:jc w:val="center"/>
        <w:outlineLvl w:val="0"/>
        <w:rPr>
          <w:rFonts w:hint="eastAsia" w:ascii="方正小标宋简体" w:eastAsia="方正小标宋简体"/>
          <w:sz w:val="36"/>
          <w:szCs w:val="32"/>
        </w:rPr>
      </w:pPr>
      <w:r>
        <w:rPr>
          <w:rFonts w:eastAsia="方正小标宋_GBK"/>
          <w:sz w:val="40"/>
          <w:szCs w:val="32"/>
        </w:rPr>
        <w:br w:type="page"/>
      </w:r>
      <w:bookmarkStart w:id="254" w:name="_Toc155861081"/>
      <w:bookmarkStart w:id="255" w:name="_Toc160715659"/>
      <w:r>
        <w:rPr>
          <w:rFonts w:hint="eastAsia" w:ascii="方正小标宋简体" w:eastAsia="方正小标宋简体"/>
          <w:sz w:val="36"/>
          <w:szCs w:val="32"/>
        </w:rPr>
        <w:t>第九章 实施国土综合整治和生态修复</w:t>
      </w:r>
      <w:bookmarkEnd w:id="254"/>
      <w:bookmarkEnd w:id="255"/>
    </w:p>
    <w:bookmarkEnd w:id="192"/>
    <w:bookmarkEnd w:id="193"/>
    <w:bookmarkEnd w:id="194"/>
    <w:bookmarkEnd w:id="195"/>
    <w:p w14:paraId="27A0A864">
      <w:pPr>
        <w:spacing w:line="600" w:lineRule="exact"/>
        <w:ind w:firstLine="640" w:firstLineChars="200"/>
        <w:rPr>
          <w:rFonts w:eastAsia="仿宋_GB2312"/>
          <w:kern w:val="0"/>
          <w:sz w:val="32"/>
          <w:szCs w:val="32"/>
        </w:rPr>
      </w:pPr>
      <w:bookmarkStart w:id="256" w:name="_Toc58510796"/>
      <w:bookmarkStart w:id="257" w:name="_Toc57469825"/>
      <w:bookmarkStart w:id="258" w:name="_Toc43113718"/>
      <w:r>
        <w:rPr>
          <w:rFonts w:eastAsia="仿宋_GB2312"/>
          <w:kern w:val="0"/>
          <w:sz w:val="32"/>
          <w:szCs w:val="32"/>
        </w:rPr>
        <w:t>坚持自然恢复为主与人工修复相结合，统筹山水林田湖草沙系统治理，推进</w:t>
      </w:r>
      <w:r>
        <w:rPr>
          <w:rFonts w:hint="eastAsia" w:eastAsia="仿宋_GB2312"/>
          <w:kern w:val="0"/>
          <w:sz w:val="32"/>
          <w:szCs w:val="32"/>
        </w:rPr>
        <w:t>“</w:t>
      </w:r>
      <w:r>
        <w:rPr>
          <w:rFonts w:eastAsia="仿宋_GB2312"/>
          <w:kern w:val="0"/>
          <w:sz w:val="32"/>
          <w:szCs w:val="32"/>
        </w:rPr>
        <w:t>三山五河三区一流域</w:t>
      </w:r>
      <w:r>
        <w:rPr>
          <w:rFonts w:hint="eastAsia" w:eastAsia="仿宋_GB2312"/>
          <w:kern w:val="0"/>
          <w:sz w:val="32"/>
          <w:szCs w:val="32"/>
        </w:rPr>
        <w:t>”</w:t>
      </w:r>
      <w:r>
        <w:rPr>
          <w:rFonts w:eastAsia="仿宋_GB2312"/>
          <w:kern w:val="0"/>
          <w:sz w:val="32"/>
          <w:szCs w:val="32"/>
        </w:rPr>
        <w:t>生态系统保护修复，实施重点条带、点位、区块的综合整治，促进生态系统良性循环，提升国土空间生态功能，增加生态碳汇，筑牢我国北方重要生态安全屏障。编制并实施内蒙古自治区国土空间生态修复、“三北”工程、乌海及周边地区生态环境综合治理等专项规划。</w:t>
      </w:r>
    </w:p>
    <w:p w14:paraId="27FE308A">
      <w:pPr>
        <w:pStyle w:val="3"/>
        <w:spacing w:before="156" w:beforeLines="50" w:after="156" w:afterLines="50" w:line="600" w:lineRule="exact"/>
        <w:rPr>
          <w:rFonts w:ascii="Times New Roman" w:hAnsi="Times New Roman"/>
          <w:b w:val="0"/>
          <w:bCs w:val="0"/>
        </w:rPr>
      </w:pPr>
      <w:bookmarkStart w:id="259" w:name="_Toc60224212"/>
      <w:bookmarkStart w:id="260" w:name="_Toc58653802"/>
      <w:bookmarkStart w:id="261" w:name="_Toc160715660"/>
      <w:bookmarkStart w:id="262" w:name="_Toc155861082"/>
      <w:r>
        <w:rPr>
          <w:rFonts w:ascii="Times New Roman" w:hAnsi="Times New Roman"/>
          <w:b w:val="0"/>
          <w:bCs w:val="0"/>
        </w:rPr>
        <w:t>第一节 统筹山水林田湖草沙系统</w:t>
      </w:r>
      <w:bookmarkEnd w:id="259"/>
      <w:bookmarkEnd w:id="260"/>
      <w:r>
        <w:rPr>
          <w:rFonts w:ascii="Times New Roman" w:hAnsi="Times New Roman"/>
          <w:b w:val="0"/>
          <w:bCs w:val="0"/>
        </w:rPr>
        <w:t>治理</w:t>
      </w:r>
      <w:bookmarkEnd w:id="261"/>
      <w:bookmarkEnd w:id="262"/>
    </w:p>
    <w:p w14:paraId="118350E6">
      <w:pPr>
        <w:spacing w:line="600" w:lineRule="exact"/>
        <w:ind w:firstLine="640" w:firstLineChars="200"/>
        <w:rPr>
          <w:rFonts w:eastAsia="仿宋_GB2312"/>
          <w:kern w:val="0"/>
          <w:sz w:val="32"/>
          <w:szCs w:val="32"/>
        </w:rPr>
      </w:pPr>
      <w:r>
        <w:rPr>
          <w:rFonts w:eastAsia="楷体_GB2312"/>
          <w:bCs/>
          <w:kern w:val="0"/>
          <w:sz w:val="32"/>
          <w:szCs w:val="32"/>
        </w:rPr>
        <w:t>推动三山生态修复。</w:t>
      </w:r>
      <w:r>
        <w:rPr>
          <w:rFonts w:eastAsia="仿宋_GB2312"/>
          <w:kern w:val="0"/>
          <w:sz w:val="32"/>
          <w:szCs w:val="32"/>
        </w:rPr>
        <w:t>落实《全国重要生态系统保护和修复重大工程总体规划（2021</w:t>
      </w:r>
      <w:r>
        <w:rPr>
          <w:rFonts w:hint="eastAsia" w:eastAsia="仿宋_GB2312"/>
          <w:kern w:val="0"/>
          <w:sz w:val="32"/>
          <w:szCs w:val="32"/>
        </w:rPr>
        <w:t>-</w:t>
      </w:r>
      <w:r>
        <w:rPr>
          <w:rFonts w:eastAsia="仿宋_GB2312"/>
          <w:kern w:val="0"/>
          <w:sz w:val="32"/>
          <w:szCs w:val="32"/>
        </w:rPr>
        <w:t>2035年）》，加强大兴安岭、阴山山脉、贺兰山山脉森林生态系统修复治理、生物多样性生境维系、水源涵养功能提升、东北森林带和北方防沙带保护治理，实施重点区域生态保护与修复工程，持续推进</w:t>
      </w:r>
      <w:r>
        <w:rPr>
          <w:rFonts w:hint="eastAsia" w:eastAsia="仿宋_GB2312"/>
          <w:kern w:val="0"/>
          <w:sz w:val="32"/>
          <w:szCs w:val="32"/>
        </w:rPr>
        <w:t>“</w:t>
      </w:r>
      <w:r>
        <w:rPr>
          <w:rFonts w:eastAsia="仿宋_GB2312"/>
          <w:kern w:val="0"/>
          <w:sz w:val="32"/>
          <w:szCs w:val="32"/>
        </w:rPr>
        <w:t>三北</w:t>
      </w:r>
      <w:r>
        <w:rPr>
          <w:rFonts w:hint="eastAsia" w:eastAsia="仿宋_GB2312"/>
          <w:kern w:val="0"/>
          <w:sz w:val="32"/>
          <w:szCs w:val="32"/>
        </w:rPr>
        <w:t>”</w:t>
      </w:r>
      <w:r>
        <w:rPr>
          <w:rFonts w:eastAsia="仿宋_GB2312"/>
          <w:kern w:val="0"/>
          <w:sz w:val="32"/>
          <w:szCs w:val="32"/>
        </w:rPr>
        <w:t>工程，提升区域生态系统功能稳定性和连通性。</w:t>
      </w:r>
    </w:p>
    <w:p w14:paraId="23AF9F41">
      <w:pPr>
        <w:spacing w:line="600" w:lineRule="exact"/>
        <w:ind w:firstLine="640" w:firstLineChars="200"/>
        <w:rPr>
          <w:rFonts w:eastAsia="仿宋_GB2312"/>
          <w:kern w:val="0"/>
          <w:sz w:val="32"/>
          <w:szCs w:val="32"/>
        </w:rPr>
      </w:pPr>
      <w:r>
        <w:rPr>
          <w:rFonts w:eastAsia="楷体_GB2312"/>
          <w:bCs/>
          <w:kern w:val="0"/>
          <w:sz w:val="32"/>
          <w:szCs w:val="32"/>
        </w:rPr>
        <w:t>推进五大水系水生态综合治理。</w:t>
      </w:r>
      <w:r>
        <w:rPr>
          <w:rFonts w:eastAsia="仿宋_GB2312"/>
          <w:kern w:val="0"/>
          <w:sz w:val="32"/>
          <w:szCs w:val="32"/>
        </w:rPr>
        <w:t>加强额尔古纳河、嫩江、西辽河、滦河、黑河五大水系水生态综合治理，推进水系生态保护体系建设、湿地洪泛区与水生态水环境治理、生物多样性保护与候鸟停歇迁徙通道保护建设，实施水源涵养与环境综合治理、沙源治理与污染源防治</w:t>
      </w:r>
      <w:r>
        <w:rPr>
          <w:rFonts w:hint="eastAsia" w:eastAsia="仿宋_GB2312"/>
          <w:kern w:val="0"/>
          <w:sz w:val="32"/>
          <w:szCs w:val="32"/>
        </w:rPr>
        <w:t>等重点</w:t>
      </w:r>
      <w:r>
        <w:rPr>
          <w:rFonts w:eastAsia="仿宋_GB2312"/>
          <w:kern w:val="0"/>
          <w:sz w:val="32"/>
          <w:szCs w:val="32"/>
        </w:rPr>
        <w:t>工程，提升水系支流水质和湖泊湿地生态功能，建设安全生态水系。推进集中式地下水型、河道型、水库型等重要饮用水</w:t>
      </w:r>
      <w:r>
        <w:rPr>
          <w:rFonts w:hint="eastAsia" w:eastAsia="仿宋_GB2312"/>
          <w:kern w:val="0"/>
          <w:sz w:val="32"/>
          <w:szCs w:val="32"/>
        </w:rPr>
        <w:t>水</w:t>
      </w:r>
      <w:r>
        <w:rPr>
          <w:rFonts w:eastAsia="仿宋_GB2312"/>
          <w:kern w:val="0"/>
          <w:sz w:val="32"/>
          <w:szCs w:val="32"/>
        </w:rPr>
        <w:t>源地保护和综合治理，全面推进水源林、护岸林与涵养水源植被保护和修复，维护水源地安全。重点开展呼伦湖、察汗淖尔、达里诺尔等重要湖泊综合治理，科学规范开展水生生物增殖放流，严格执行禁渔期制度。</w:t>
      </w:r>
    </w:p>
    <w:p w14:paraId="39C05B7A">
      <w:pPr>
        <w:widowControl/>
        <w:shd w:val="clear" w:color="auto" w:fill="FFFFFF"/>
        <w:spacing w:line="600" w:lineRule="exact"/>
        <w:ind w:firstLine="640" w:firstLineChars="200"/>
        <w:rPr>
          <w:rFonts w:eastAsia="仿宋_GB2312"/>
          <w:kern w:val="0"/>
          <w:sz w:val="32"/>
          <w:szCs w:val="32"/>
        </w:rPr>
      </w:pPr>
      <w:r>
        <w:rPr>
          <w:rFonts w:eastAsia="楷体_GB2312"/>
          <w:bCs/>
          <w:kern w:val="0"/>
          <w:sz w:val="32"/>
          <w:szCs w:val="32"/>
        </w:rPr>
        <w:t>加强三大生态脆弱区系统治理。</w:t>
      </w:r>
      <w:r>
        <w:rPr>
          <w:rFonts w:eastAsia="仿宋_GB2312"/>
          <w:kern w:val="0"/>
          <w:sz w:val="32"/>
          <w:szCs w:val="32"/>
        </w:rPr>
        <w:t>重点推进退化草原治理区、黄土高原丘陵沟壑水土保持区、沙漠沙地防治区的生态系统修复治理。推动黄土高原丘陵沟壑水土流失综合治理，完善防沙治沙体系建设，加强荒漠化综合防治和推进</w:t>
      </w:r>
      <w:r>
        <w:rPr>
          <w:rFonts w:hint="eastAsia" w:eastAsia="仿宋_GB2312"/>
          <w:kern w:val="0"/>
          <w:sz w:val="32"/>
          <w:szCs w:val="32"/>
        </w:rPr>
        <w:t>“</w:t>
      </w:r>
      <w:r>
        <w:rPr>
          <w:rFonts w:eastAsia="仿宋_GB2312"/>
          <w:kern w:val="0"/>
          <w:sz w:val="32"/>
          <w:szCs w:val="32"/>
        </w:rPr>
        <w:t>三北</w:t>
      </w:r>
      <w:r>
        <w:rPr>
          <w:rFonts w:hint="eastAsia" w:eastAsia="仿宋_GB2312"/>
          <w:kern w:val="0"/>
          <w:sz w:val="32"/>
          <w:szCs w:val="32"/>
        </w:rPr>
        <w:t>”</w:t>
      </w:r>
      <w:r>
        <w:rPr>
          <w:rFonts w:eastAsia="仿宋_GB2312"/>
          <w:kern w:val="0"/>
          <w:sz w:val="32"/>
          <w:szCs w:val="32"/>
        </w:rPr>
        <w:t>等重点生态工程建设，持续推进退化草原修复、沙化土地治理、光伏治沙、污染土地修复等生态脆弱区系统服务功能提升和保护修复工程。</w:t>
      </w:r>
    </w:p>
    <w:p w14:paraId="1ABC4016">
      <w:pPr>
        <w:spacing w:line="600" w:lineRule="exact"/>
        <w:ind w:firstLine="640" w:firstLineChars="200"/>
        <w:rPr>
          <w:rFonts w:eastAsia="仿宋_GB2312"/>
          <w:kern w:val="0"/>
          <w:sz w:val="32"/>
          <w:szCs w:val="32"/>
        </w:rPr>
      </w:pPr>
      <w:r>
        <w:rPr>
          <w:rFonts w:eastAsia="楷体_GB2312"/>
          <w:bCs/>
          <w:kern w:val="0"/>
          <w:sz w:val="32"/>
          <w:szCs w:val="32"/>
        </w:rPr>
        <w:t>实施内蒙古黄河流域生态修复。</w:t>
      </w:r>
      <w:r>
        <w:rPr>
          <w:rFonts w:eastAsia="仿宋_GB2312"/>
          <w:kern w:val="0"/>
          <w:sz w:val="32"/>
          <w:szCs w:val="32"/>
        </w:rPr>
        <w:t>坚持山水林田湖草沙综合治理、系统治理、源头治理，统筹上下游、干支流、左右岸、陆上水上、地表地下</w:t>
      </w:r>
      <w:r>
        <w:rPr>
          <w:rFonts w:hint="eastAsia" w:eastAsia="仿宋_GB2312"/>
          <w:kern w:val="0"/>
          <w:sz w:val="32"/>
          <w:szCs w:val="32"/>
        </w:rPr>
        <w:t>的</w:t>
      </w:r>
      <w:r>
        <w:rPr>
          <w:rFonts w:eastAsia="仿宋_GB2312"/>
          <w:kern w:val="0"/>
          <w:sz w:val="32"/>
          <w:szCs w:val="32"/>
        </w:rPr>
        <w:t>水生态水资源污染防治和生态保护，实施乌海及周边地区生态环境综合治理，</w:t>
      </w:r>
      <w:r>
        <w:rPr>
          <w:rFonts w:hint="eastAsia" w:eastAsia="仿宋_GB2312"/>
          <w:kern w:val="0"/>
          <w:sz w:val="32"/>
          <w:szCs w:val="32"/>
        </w:rPr>
        <w:t>开展</w:t>
      </w:r>
      <w:r>
        <w:rPr>
          <w:rFonts w:eastAsia="仿宋_GB2312"/>
          <w:kern w:val="0"/>
          <w:sz w:val="32"/>
          <w:szCs w:val="32"/>
        </w:rPr>
        <w:t>黄河流域国土绿化行动，建设沿黄生态廊道，增强黄河岸线及其支流水土保持能力，持续推进沙漠沙地锁边防护体系建设，加强黄河滩区治理和湿地保护修复、沿黄干流平原区综合整治，加强黄河水生生物资源养护，改善黄河流域生态环境质量，增强生态系统恢复力。</w:t>
      </w:r>
    </w:p>
    <w:p w14:paraId="44C8A9E7">
      <w:pPr>
        <w:spacing w:line="600" w:lineRule="exact"/>
        <w:ind w:firstLine="640" w:firstLineChars="200"/>
        <w:rPr>
          <w:rFonts w:eastAsia="仿宋_GB2312"/>
          <w:kern w:val="0"/>
          <w:sz w:val="32"/>
          <w:szCs w:val="32"/>
        </w:rPr>
      </w:pPr>
      <w:r>
        <w:rPr>
          <w:rFonts w:eastAsia="楷体_GB2312"/>
          <w:bCs/>
          <w:kern w:val="0"/>
          <w:sz w:val="32"/>
          <w:szCs w:val="32"/>
        </w:rPr>
        <w:t>科学开展国土绿化行动。</w:t>
      </w:r>
      <w:r>
        <w:rPr>
          <w:rFonts w:eastAsia="仿宋_GB2312"/>
          <w:kern w:val="0"/>
          <w:sz w:val="32"/>
          <w:szCs w:val="32"/>
        </w:rPr>
        <w:t>综合考虑未来国土空间保护开发总体布局，因地制宜统筹确定造林绿化空间。坚持宜林则林、宜草则草、宜沙则沙</w:t>
      </w:r>
      <w:r>
        <w:rPr>
          <w:rFonts w:hint="eastAsia" w:eastAsia="仿宋_GB2312"/>
          <w:kern w:val="0"/>
          <w:sz w:val="32"/>
          <w:szCs w:val="32"/>
        </w:rPr>
        <w:t>、</w:t>
      </w:r>
      <w:r>
        <w:rPr>
          <w:rFonts w:eastAsia="仿宋_GB2312"/>
          <w:kern w:val="0"/>
          <w:sz w:val="32"/>
          <w:szCs w:val="32"/>
        </w:rPr>
        <w:t>宜</w:t>
      </w:r>
      <w:r>
        <w:rPr>
          <w:rFonts w:hint="eastAsia" w:eastAsia="仿宋_GB2312"/>
          <w:kern w:val="0"/>
          <w:sz w:val="32"/>
          <w:szCs w:val="32"/>
        </w:rPr>
        <w:t>荒</w:t>
      </w:r>
      <w:r>
        <w:rPr>
          <w:rFonts w:eastAsia="仿宋_GB2312"/>
          <w:kern w:val="0"/>
          <w:sz w:val="32"/>
          <w:szCs w:val="32"/>
        </w:rPr>
        <w:t>则</w:t>
      </w:r>
      <w:r>
        <w:rPr>
          <w:rFonts w:hint="eastAsia" w:eastAsia="仿宋_GB2312"/>
          <w:kern w:val="0"/>
          <w:sz w:val="32"/>
          <w:szCs w:val="32"/>
        </w:rPr>
        <w:t>荒</w:t>
      </w:r>
      <w:r>
        <w:rPr>
          <w:rFonts w:eastAsia="仿宋_GB2312"/>
          <w:kern w:val="0"/>
          <w:sz w:val="32"/>
          <w:szCs w:val="32"/>
        </w:rPr>
        <w:t>，采取工程、生物技术等</w:t>
      </w:r>
      <w:r>
        <w:rPr>
          <w:rFonts w:hint="eastAsia" w:eastAsia="仿宋_GB2312"/>
          <w:kern w:val="0"/>
          <w:sz w:val="32"/>
          <w:szCs w:val="32"/>
        </w:rPr>
        <w:t>措施</w:t>
      </w:r>
      <w:r>
        <w:rPr>
          <w:rFonts w:eastAsia="仿宋_GB2312"/>
          <w:kern w:val="0"/>
          <w:sz w:val="32"/>
          <w:szCs w:val="32"/>
        </w:rPr>
        <w:t>，科学有序开展国土绿化行动。到2035年，森林覆盖率和草原综合植被覆盖度总体稳定。</w:t>
      </w:r>
    </w:p>
    <w:p w14:paraId="7EB00667">
      <w:pPr>
        <w:pStyle w:val="3"/>
        <w:spacing w:before="156" w:beforeLines="50" w:after="156" w:afterLines="50" w:line="600" w:lineRule="exact"/>
        <w:rPr>
          <w:rFonts w:ascii="Times New Roman" w:hAnsi="Times New Roman"/>
          <w:b w:val="0"/>
          <w:bCs w:val="0"/>
        </w:rPr>
      </w:pPr>
      <w:bookmarkStart w:id="263" w:name="_Toc160715661"/>
      <w:bookmarkStart w:id="264" w:name="_Toc155861083"/>
      <w:bookmarkStart w:id="265" w:name="_Toc60224213"/>
      <w:bookmarkStart w:id="266" w:name="_Toc58653803"/>
      <w:r>
        <w:rPr>
          <w:rFonts w:ascii="Times New Roman" w:hAnsi="Times New Roman"/>
          <w:b w:val="0"/>
          <w:bCs w:val="0"/>
        </w:rPr>
        <w:t>第二节 推进土地综合整治</w:t>
      </w:r>
      <w:bookmarkEnd w:id="263"/>
      <w:bookmarkEnd w:id="264"/>
      <w:bookmarkEnd w:id="265"/>
      <w:bookmarkEnd w:id="266"/>
    </w:p>
    <w:p w14:paraId="273169CC">
      <w:pPr>
        <w:spacing w:line="600" w:lineRule="exact"/>
        <w:ind w:firstLine="640" w:firstLineChars="200"/>
        <w:rPr>
          <w:rFonts w:eastAsia="仿宋_GB2312"/>
          <w:kern w:val="0"/>
          <w:sz w:val="32"/>
          <w:szCs w:val="32"/>
        </w:rPr>
      </w:pPr>
      <w:r>
        <w:rPr>
          <w:rFonts w:eastAsia="楷体_GB2312"/>
          <w:bCs/>
          <w:kern w:val="0"/>
          <w:sz w:val="32"/>
          <w:szCs w:val="32"/>
        </w:rPr>
        <w:t>推动农村土地综合整治。</w:t>
      </w:r>
      <w:r>
        <w:rPr>
          <w:rFonts w:eastAsia="仿宋_GB2312"/>
          <w:kern w:val="0"/>
          <w:sz w:val="32"/>
          <w:szCs w:val="32"/>
        </w:rPr>
        <w:t>编制村庄规划，以乡镇或中心村为基本实施单元，加强田水路林村整体谋划，统筹开展农用地、建设用地整治和农村牧区生态建设等农村土地综合整治，推进农村牧区土地集约高效利用，优化人居环境，改善乡村生产生活条件，助推实施乡村振兴战略。</w:t>
      </w:r>
    </w:p>
    <w:p w14:paraId="55882665">
      <w:pPr>
        <w:spacing w:line="600" w:lineRule="exact"/>
        <w:ind w:firstLine="640" w:firstLineChars="200"/>
        <w:rPr>
          <w:rFonts w:eastAsia="仿宋_GB2312"/>
          <w:kern w:val="0"/>
          <w:sz w:val="32"/>
          <w:szCs w:val="32"/>
        </w:rPr>
      </w:pPr>
      <w:r>
        <w:rPr>
          <w:rFonts w:eastAsia="楷体_GB2312"/>
          <w:bCs/>
          <w:kern w:val="0"/>
          <w:sz w:val="32"/>
          <w:szCs w:val="32"/>
        </w:rPr>
        <w:t>开展农用地整治。</w:t>
      </w:r>
      <w:r>
        <w:rPr>
          <w:rFonts w:eastAsia="仿宋_GB2312"/>
          <w:kern w:val="0"/>
          <w:sz w:val="32"/>
          <w:szCs w:val="32"/>
        </w:rPr>
        <w:t>统筹推进高标准农田建设、旱耕地治理、耕地质量提升、黑土地保护提升和退化土地修复等，在耕地</w:t>
      </w:r>
      <w:r>
        <w:rPr>
          <w:rFonts w:hint="eastAsia" w:eastAsia="仿宋_GB2312"/>
          <w:kern w:val="0"/>
          <w:sz w:val="32"/>
          <w:szCs w:val="32"/>
        </w:rPr>
        <w:t>“</w:t>
      </w:r>
      <w:r>
        <w:rPr>
          <w:rFonts w:eastAsia="仿宋_GB2312"/>
          <w:kern w:val="0"/>
          <w:sz w:val="32"/>
          <w:szCs w:val="32"/>
        </w:rPr>
        <w:t>数量、质量、生态</w:t>
      </w:r>
      <w:r>
        <w:rPr>
          <w:rFonts w:hint="eastAsia" w:eastAsia="仿宋_GB2312"/>
          <w:kern w:val="0"/>
          <w:sz w:val="32"/>
          <w:szCs w:val="32"/>
        </w:rPr>
        <w:t>”</w:t>
      </w:r>
      <w:r>
        <w:rPr>
          <w:rFonts w:eastAsia="仿宋_GB2312"/>
          <w:kern w:val="0"/>
          <w:sz w:val="32"/>
          <w:szCs w:val="32"/>
        </w:rPr>
        <w:t>三位一体保护的前提下，完善农田基础设施条件，有序提升耕地连片程度，优化耕地和永久基本农田布局。</w:t>
      </w:r>
    </w:p>
    <w:p w14:paraId="38A7FE05">
      <w:pPr>
        <w:spacing w:line="600" w:lineRule="exact"/>
        <w:ind w:firstLine="640" w:firstLineChars="200"/>
        <w:rPr>
          <w:rFonts w:eastAsia="仿宋_GB2312"/>
          <w:kern w:val="0"/>
          <w:sz w:val="32"/>
          <w:szCs w:val="32"/>
        </w:rPr>
      </w:pPr>
      <w:r>
        <w:rPr>
          <w:rFonts w:eastAsia="楷体_GB2312"/>
          <w:bCs/>
          <w:kern w:val="0"/>
          <w:sz w:val="32"/>
          <w:szCs w:val="32"/>
        </w:rPr>
        <w:t>推进农村低效建设用地整治。</w:t>
      </w:r>
      <w:r>
        <w:rPr>
          <w:rFonts w:eastAsia="仿宋_GB2312"/>
          <w:kern w:val="0"/>
          <w:sz w:val="32"/>
          <w:szCs w:val="32"/>
        </w:rPr>
        <w:t>完善城乡建设用地增减挂钩制度，充分尊重农牧民意愿，稳妥有序积极盘活</w:t>
      </w:r>
      <w:r>
        <w:rPr>
          <w:rFonts w:hint="eastAsia" w:eastAsia="仿宋_GB2312"/>
          <w:kern w:val="0"/>
          <w:sz w:val="32"/>
          <w:szCs w:val="32"/>
        </w:rPr>
        <w:t>“</w:t>
      </w:r>
      <w:r>
        <w:rPr>
          <w:rFonts w:eastAsia="仿宋_GB2312"/>
          <w:kern w:val="0"/>
          <w:sz w:val="32"/>
          <w:szCs w:val="32"/>
        </w:rPr>
        <w:t>空心村</w:t>
      </w:r>
      <w:r>
        <w:rPr>
          <w:rFonts w:hint="eastAsia" w:eastAsia="仿宋_GB2312"/>
          <w:kern w:val="0"/>
          <w:sz w:val="32"/>
          <w:szCs w:val="32"/>
        </w:rPr>
        <w:t>”</w:t>
      </w:r>
      <w:r>
        <w:rPr>
          <w:rFonts w:eastAsia="仿宋_GB2312"/>
          <w:kern w:val="0"/>
          <w:sz w:val="32"/>
          <w:szCs w:val="32"/>
        </w:rPr>
        <w:t>、农村闲置宅基地、房前屋后零散土地等农村低效建设用地，</w:t>
      </w:r>
      <w:r>
        <w:rPr>
          <w:rFonts w:eastAsia="仿宋_GB2312"/>
          <w:sz w:val="32"/>
          <w:szCs w:val="32"/>
        </w:rPr>
        <w:t>优先保障农村产业发展、公共服务、基础设施、人居环境等用地需求</w:t>
      </w:r>
      <w:r>
        <w:rPr>
          <w:rFonts w:eastAsia="仿宋_GB2312"/>
          <w:kern w:val="0"/>
          <w:sz w:val="32"/>
          <w:szCs w:val="32"/>
        </w:rPr>
        <w:t>，拓展和挖掘补充耕地来源。</w:t>
      </w:r>
    </w:p>
    <w:p w14:paraId="4C6A3841">
      <w:pPr>
        <w:spacing w:line="600" w:lineRule="exact"/>
        <w:ind w:firstLine="640" w:firstLineChars="200"/>
        <w:rPr>
          <w:rFonts w:eastAsia="仿宋_GB2312"/>
          <w:kern w:val="0"/>
          <w:sz w:val="32"/>
          <w:szCs w:val="32"/>
        </w:rPr>
      </w:pPr>
      <w:r>
        <w:rPr>
          <w:rFonts w:eastAsia="楷体_GB2312"/>
          <w:bCs/>
          <w:kern w:val="0"/>
          <w:sz w:val="32"/>
          <w:szCs w:val="32"/>
        </w:rPr>
        <w:t>完善土地综合整治配套政策。</w:t>
      </w:r>
      <w:r>
        <w:rPr>
          <w:rFonts w:eastAsia="仿宋_GB2312"/>
          <w:kern w:val="0"/>
          <w:sz w:val="32"/>
          <w:szCs w:val="32"/>
        </w:rPr>
        <w:t>农村土地综合整治节余的建设用地指标，优先用于乡镇范围内农村基础设施</w:t>
      </w:r>
      <w:r>
        <w:rPr>
          <w:rFonts w:hint="eastAsia" w:eastAsia="仿宋_GB2312"/>
          <w:kern w:val="0"/>
          <w:sz w:val="32"/>
          <w:szCs w:val="32"/>
        </w:rPr>
        <w:t>、</w:t>
      </w:r>
      <w:r>
        <w:rPr>
          <w:rFonts w:eastAsia="仿宋_GB2312"/>
          <w:kern w:val="0"/>
          <w:sz w:val="32"/>
          <w:szCs w:val="32"/>
        </w:rPr>
        <w:t>污染治理设施</w:t>
      </w:r>
      <w:r>
        <w:rPr>
          <w:rFonts w:hint="eastAsia" w:eastAsia="仿宋_GB2312"/>
          <w:kern w:val="0"/>
          <w:sz w:val="32"/>
          <w:szCs w:val="32"/>
        </w:rPr>
        <w:t>及</w:t>
      </w:r>
      <w:r>
        <w:rPr>
          <w:rFonts w:eastAsia="仿宋_GB2312"/>
          <w:kern w:val="0"/>
          <w:sz w:val="32"/>
          <w:szCs w:val="32"/>
        </w:rPr>
        <w:t>新产业</w:t>
      </w:r>
      <w:r>
        <w:rPr>
          <w:rFonts w:hint="eastAsia" w:eastAsia="仿宋_GB2312"/>
          <w:kern w:val="0"/>
          <w:sz w:val="32"/>
          <w:szCs w:val="32"/>
        </w:rPr>
        <w:t>、</w:t>
      </w:r>
      <w:r>
        <w:rPr>
          <w:rFonts w:eastAsia="仿宋_GB2312"/>
          <w:kern w:val="0"/>
          <w:sz w:val="32"/>
          <w:szCs w:val="32"/>
        </w:rPr>
        <w:t>新业态发展用地，也可以在县域范围内调剂使用，所得净收益用于乡村发展建设。</w:t>
      </w:r>
    </w:p>
    <w:p w14:paraId="11CC73E1">
      <w:pPr>
        <w:pStyle w:val="3"/>
        <w:spacing w:before="156" w:beforeLines="50" w:after="156" w:afterLines="50" w:line="600" w:lineRule="exact"/>
        <w:rPr>
          <w:rFonts w:ascii="Times New Roman" w:hAnsi="Times New Roman"/>
          <w:b w:val="0"/>
          <w:bCs w:val="0"/>
        </w:rPr>
      </w:pPr>
      <w:bookmarkStart w:id="267" w:name="_Toc160715662"/>
      <w:bookmarkStart w:id="268" w:name="_Toc60224214"/>
      <w:bookmarkStart w:id="269" w:name="_Toc155861084"/>
      <w:bookmarkStart w:id="270" w:name="_Toc58653804"/>
      <w:bookmarkStart w:id="271" w:name="_Toc20949"/>
      <w:bookmarkStart w:id="272" w:name="_Toc56842418"/>
      <w:bookmarkStart w:id="273" w:name="_Toc41137918"/>
      <w:bookmarkStart w:id="274" w:name="_Toc57469818"/>
      <w:r>
        <w:rPr>
          <w:rFonts w:ascii="Times New Roman" w:hAnsi="Times New Roman"/>
          <w:b w:val="0"/>
          <w:bCs w:val="0"/>
        </w:rPr>
        <w:t>第三节 推动城镇低效用地再开发</w:t>
      </w:r>
      <w:bookmarkEnd w:id="267"/>
      <w:bookmarkEnd w:id="268"/>
      <w:bookmarkEnd w:id="269"/>
      <w:bookmarkEnd w:id="270"/>
    </w:p>
    <w:p w14:paraId="2A54879E">
      <w:pPr>
        <w:spacing w:line="600" w:lineRule="exact"/>
        <w:ind w:firstLine="643"/>
        <w:rPr>
          <w:rFonts w:eastAsia="仿宋_GB2312"/>
          <w:kern w:val="0"/>
          <w:sz w:val="32"/>
          <w:szCs w:val="32"/>
        </w:rPr>
      </w:pPr>
      <w:r>
        <w:rPr>
          <w:rFonts w:eastAsia="楷体_GB2312"/>
          <w:bCs/>
          <w:kern w:val="0"/>
          <w:sz w:val="32"/>
          <w:szCs w:val="32"/>
        </w:rPr>
        <w:t>统筹推进存量建设用地盘活利用。</w:t>
      </w:r>
      <w:r>
        <w:rPr>
          <w:rFonts w:eastAsia="仿宋_GB2312"/>
          <w:sz w:val="32"/>
          <w:szCs w:val="32"/>
        </w:rPr>
        <w:t>鼓励采取改善供应条件、土地储备、闲</w:t>
      </w:r>
      <w:r>
        <w:rPr>
          <w:rFonts w:hint="eastAsia" w:eastAsia="仿宋_GB2312"/>
          <w:sz w:val="32"/>
          <w:szCs w:val="32"/>
        </w:rPr>
        <w:t>储</w:t>
      </w:r>
      <w:r>
        <w:rPr>
          <w:rFonts w:eastAsia="仿宋_GB2312"/>
          <w:sz w:val="32"/>
          <w:szCs w:val="32"/>
        </w:rPr>
        <w:t>置换、完善基础设施等方式</w:t>
      </w:r>
      <w:r>
        <w:rPr>
          <w:rFonts w:eastAsia="仿宋_GB2312"/>
          <w:kern w:val="0"/>
          <w:sz w:val="32"/>
          <w:szCs w:val="32"/>
        </w:rPr>
        <w:t>，加大批而未供和闲置土地消化处置。在进行老旧小区、旧厂区等改造时，加大历史文化名城名镇名村的保护力度，加强对历史文化街区、重要建筑、传统格局和文化风貌的保护。</w:t>
      </w:r>
    </w:p>
    <w:p w14:paraId="2044039E">
      <w:pPr>
        <w:spacing w:line="600" w:lineRule="exact"/>
        <w:ind w:firstLine="643"/>
        <w:rPr>
          <w:rFonts w:eastAsia="仿宋_GB2312"/>
          <w:kern w:val="0"/>
          <w:sz w:val="32"/>
          <w:szCs w:val="32"/>
        </w:rPr>
      </w:pPr>
      <w:r>
        <w:rPr>
          <w:rFonts w:eastAsia="楷体_GB2312"/>
          <w:bCs/>
          <w:kern w:val="0"/>
          <w:sz w:val="32"/>
          <w:szCs w:val="32"/>
        </w:rPr>
        <w:t>工矿废弃地复垦利用。</w:t>
      </w:r>
      <w:r>
        <w:rPr>
          <w:rFonts w:eastAsia="仿宋_GB2312"/>
          <w:kern w:val="0"/>
          <w:sz w:val="32"/>
          <w:szCs w:val="32"/>
        </w:rPr>
        <w:t>按照</w:t>
      </w:r>
      <w:r>
        <w:rPr>
          <w:rFonts w:hint="eastAsia" w:eastAsia="仿宋_GB2312"/>
          <w:kern w:val="0"/>
          <w:sz w:val="32"/>
          <w:szCs w:val="32"/>
        </w:rPr>
        <w:t>“</w:t>
      </w:r>
      <w:r>
        <w:rPr>
          <w:rFonts w:eastAsia="仿宋_GB2312"/>
          <w:kern w:val="0"/>
          <w:sz w:val="32"/>
          <w:szCs w:val="32"/>
        </w:rPr>
        <w:t>宜林则林、宜草则草、宜耕则耕</w:t>
      </w:r>
      <w:r>
        <w:rPr>
          <w:rFonts w:hint="eastAsia" w:eastAsia="仿宋_GB2312"/>
          <w:kern w:val="0"/>
          <w:sz w:val="32"/>
          <w:szCs w:val="32"/>
        </w:rPr>
        <w:t>”</w:t>
      </w:r>
      <w:r>
        <w:rPr>
          <w:rFonts w:eastAsia="仿宋_GB2312"/>
          <w:kern w:val="0"/>
          <w:sz w:val="32"/>
          <w:szCs w:val="32"/>
        </w:rPr>
        <w:t>的原则，大力推进工矿废弃地和自然灾害损毁土地治理，恢复土地生产力，提高土地利用效率，改善局部生态环境，原则上禁止曾用于生产、使用、贮存、回收、处置有毒有害物质的工矿用地复垦为种植食用农产品的耕地。严格按照</w:t>
      </w:r>
      <w:r>
        <w:rPr>
          <w:rFonts w:hint="eastAsia" w:eastAsia="仿宋_GB2312"/>
          <w:kern w:val="0"/>
          <w:sz w:val="32"/>
          <w:szCs w:val="32"/>
        </w:rPr>
        <w:t>“</w:t>
      </w:r>
      <w:r>
        <w:rPr>
          <w:rFonts w:eastAsia="仿宋_GB2312"/>
          <w:kern w:val="0"/>
          <w:sz w:val="32"/>
          <w:szCs w:val="32"/>
        </w:rPr>
        <w:t>谁损毁、谁复垦</w:t>
      </w:r>
      <w:r>
        <w:rPr>
          <w:rFonts w:hint="eastAsia" w:eastAsia="仿宋_GB2312"/>
          <w:kern w:val="0"/>
          <w:sz w:val="32"/>
          <w:szCs w:val="32"/>
        </w:rPr>
        <w:t>”</w:t>
      </w:r>
      <w:r>
        <w:rPr>
          <w:rFonts w:eastAsia="仿宋_GB2312"/>
          <w:kern w:val="0"/>
          <w:sz w:val="32"/>
          <w:szCs w:val="32"/>
        </w:rPr>
        <w:t>的要求，全面推进生产建设活动损毁土地复垦，逐步恢复生态系统良性循环。</w:t>
      </w:r>
    </w:p>
    <w:bookmarkEnd w:id="271"/>
    <w:bookmarkEnd w:id="272"/>
    <w:bookmarkEnd w:id="273"/>
    <w:bookmarkEnd w:id="274"/>
    <w:p w14:paraId="06F773B2">
      <w:pPr>
        <w:pStyle w:val="3"/>
        <w:spacing w:before="156" w:beforeLines="50" w:after="156" w:afterLines="50" w:line="600" w:lineRule="exact"/>
        <w:rPr>
          <w:rFonts w:ascii="Times New Roman" w:hAnsi="Times New Roman"/>
          <w:b w:val="0"/>
          <w:bCs w:val="0"/>
        </w:rPr>
      </w:pPr>
      <w:bookmarkStart w:id="275" w:name="_Toc155861085"/>
      <w:bookmarkStart w:id="276" w:name="_Toc60224216"/>
      <w:bookmarkStart w:id="277" w:name="_Toc160715663"/>
      <w:bookmarkStart w:id="278" w:name="_Toc58653806"/>
      <w:r>
        <w:rPr>
          <w:rFonts w:ascii="Times New Roman" w:hAnsi="Times New Roman"/>
          <w:b w:val="0"/>
          <w:bCs w:val="0"/>
        </w:rPr>
        <w:t>第四节 加强矿山生态修复</w:t>
      </w:r>
      <w:bookmarkEnd w:id="275"/>
      <w:bookmarkEnd w:id="276"/>
      <w:bookmarkEnd w:id="277"/>
      <w:bookmarkEnd w:id="278"/>
    </w:p>
    <w:p w14:paraId="32BAA444">
      <w:pPr>
        <w:spacing w:line="600" w:lineRule="exact"/>
        <w:ind w:firstLine="641"/>
        <w:rPr>
          <w:rFonts w:hint="eastAsia" w:eastAsia="仿宋_GB2312"/>
          <w:kern w:val="0"/>
          <w:sz w:val="32"/>
          <w:szCs w:val="32"/>
        </w:rPr>
      </w:pPr>
      <w:r>
        <w:rPr>
          <w:rFonts w:eastAsia="楷体_GB2312"/>
          <w:bCs/>
          <w:kern w:val="0"/>
          <w:sz w:val="32"/>
          <w:szCs w:val="32"/>
        </w:rPr>
        <w:t>全面推进绿色矿山建设。</w:t>
      </w:r>
      <w:r>
        <w:rPr>
          <w:rFonts w:eastAsia="仿宋_GB2312"/>
          <w:kern w:val="0"/>
          <w:sz w:val="32"/>
          <w:szCs w:val="32"/>
        </w:rPr>
        <w:t>坚持工程措施与生物措施相结合、分类施策的原则，加大</w:t>
      </w:r>
      <w:r>
        <w:rPr>
          <w:rFonts w:hint="eastAsia" w:eastAsia="仿宋_GB2312"/>
          <w:kern w:val="0"/>
          <w:sz w:val="32"/>
          <w:szCs w:val="32"/>
        </w:rPr>
        <w:t>“</w:t>
      </w:r>
      <w:r>
        <w:rPr>
          <w:rFonts w:eastAsia="仿宋_GB2312"/>
          <w:kern w:val="0"/>
          <w:sz w:val="32"/>
          <w:szCs w:val="32"/>
        </w:rPr>
        <w:t>边开采、边治理</w:t>
      </w:r>
      <w:r>
        <w:rPr>
          <w:rFonts w:hint="eastAsia" w:eastAsia="仿宋_GB2312"/>
          <w:kern w:val="0"/>
          <w:sz w:val="32"/>
          <w:szCs w:val="32"/>
        </w:rPr>
        <w:t>”</w:t>
      </w:r>
      <w:r>
        <w:rPr>
          <w:rFonts w:eastAsia="仿宋_GB2312"/>
          <w:kern w:val="0"/>
          <w:sz w:val="32"/>
          <w:szCs w:val="32"/>
        </w:rPr>
        <w:t>力度，推进绿色矿山建设，建成节约高效、环境美丽、矿地和谐的绿色矿业开采模式。建立健全绿色矿山建设标准和规划体系，推动矿业转型升级，全面实现资源开发利用与区域经济社会发展协调共融。规划期内，新建</w:t>
      </w:r>
      <w:r>
        <w:rPr>
          <w:rFonts w:hint="eastAsia" w:eastAsia="仿宋_GB2312"/>
          <w:kern w:val="0"/>
          <w:sz w:val="32"/>
          <w:szCs w:val="32"/>
        </w:rPr>
        <w:t>大中型</w:t>
      </w:r>
      <w:r>
        <w:rPr>
          <w:rFonts w:eastAsia="仿宋_GB2312"/>
          <w:kern w:val="0"/>
          <w:sz w:val="32"/>
          <w:szCs w:val="32"/>
        </w:rPr>
        <w:t>矿山</w:t>
      </w:r>
      <w:r>
        <w:rPr>
          <w:rFonts w:hint="eastAsia" w:eastAsia="仿宋_GB2312"/>
          <w:kern w:val="0"/>
          <w:sz w:val="32"/>
          <w:szCs w:val="32"/>
        </w:rPr>
        <w:t>按照</w:t>
      </w:r>
      <w:r>
        <w:rPr>
          <w:rFonts w:eastAsia="仿宋_GB2312"/>
          <w:kern w:val="0"/>
          <w:sz w:val="32"/>
          <w:szCs w:val="32"/>
        </w:rPr>
        <w:t>绿色矿山标准</w:t>
      </w:r>
      <w:r>
        <w:rPr>
          <w:rFonts w:hint="eastAsia" w:eastAsia="仿宋_GB2312"/>
          <w:kern w:val="0"/>
          <w:sz w:val="32"/>
          <w:szCs w:val="32"/>
        </w:rPr>
        <w:t>进行</w:t>
      </w:r>
      <w:r>
        <w:rPr>
          <w:rFonts w:eastAsia="仿宋_GB2312"/>
          <w:kern w:val="0"/>
          <w:sz w:val="32"/>
          <w:szCs w:val="32"/>
        </w:rPr>
        <w:t>建设</w:t>
      </w:r>
      <w:r>
        <w:rPr>
          <w:rFonts w:hint="eastAsia" w:eastAsia="仿宋_GB2312"/>
          <w:kern w:val="0"/>
          <w:sz w:val="32"/>
          <w:szCs w:val="32"/>
        </w:rPr>
        <w:t>。</w:t>
      </w:r>
    </w:p>
    <w:p w14:paraId="5D17A679">
      <w:pPr>
        <w:spacing w:after="156" w:afterLines="50" w:line="600" w:lineRule="exact"/>
        <w:ind w:firstLine="641"/>
        <w:rPr>
          <w:rFonts w:eastAsia="仿宋"/>
          <w:sz w:val="16"/>
          <w:szCs w:val="32"/>
        </w:rPr>
      </w:pPr>
      <w:r>
        <w:rPr>
          <w:rFonts w:eastAsia="楷体_GB2312"/>
          <w:bCs/>
          <w:kern w:val="0"/>
          <w:sz w:val="32"/>
          <w:szCs w:val="32"/>
        </w:rPr>
        <w:t>废弃矿山</w:t>
      </w:r>
      <w:r>
        <w:rPr>
          <w:rFonts w:hint="eastAsia" w:eastAsia="楷体_GB2312"/>
          <w:bCs/>
          <w:kern w:val="0"/>
          <w:sz w:val="32"/>
          <w:szCs w:val="32"/>
        </w:rPr>
        <w:t>地质</w:t>
      </w:r>
      <w:r>
        <w:rPr>
          <w:rFonts w:eastAsia="楷体_GB2312"/>
          <w:bCs/>
          <w:kern w:val="0"/>
          <w:sz w:val="32"/>
          <w:szCs w:val="32"/>
        </w:rPr>
        <w:t>环境综合治理。</w:t>
      </w:r>
      <w:r>
        <w:rPr>
          <w:rFonts w:eastAsia="仿宋_GB2312"/>
          <w:kern w:val="0"/>
          <w:sz w:val="32"/>
          <w:szCs w:val="32"/>
        </w:rPr>
        <w:t>综合考虑矿山区位、类型、环境，因矿施策，有序推进历史遗留、责任主体灭失矿山</w:t>
      </w:r>
      <w:r>
        <w:rPr>
          <w:rFonts w:hint="eastAsia" w:eastAsia="仿宋_GB2312"/>
          <w:kern w:val="0"/>
          <w:sz w:val="32"/>
          <w:szCs w:val="32"/>
        </w:rPr>
        <w:t>地质</w:t>
      </w:r>
      <w:r>
        <w:rPr>
          <w:rFonts w:eastAsia="仿宋_GB2312"/>
          <w:kern w:val="0"/>
          <w:sz w:val="32"/>
          <w:szCs w:val="32"/>
        </w:rPr>
        <w:t>环境综合治理，强化</w:t>
      </w:r>
      <w:r>
        <w:rPr>
          <w:rFonts w:hint="eastAsia" w:eastAsia="仿宋_GB2312"/>
          <w:kern w:val="0"/>
          <w:sz w:val="32"/>
          <w:szCs w:val="32"/>
        </w:rPr>
        <w:t>治理成效监督，</w:t>
      </w:r>
      <w:r>
        <w:rPr>
          <w:rFonts w:eastAsia="仿宋_GB2312"/>
          <w:kern w:val="0"/>
          <w:sz w:val="32"/>
          <w:szCs w:val="32"/>
        </w:rPr>
        <w:t>促进区域生态环境明显改善。</w:t>
      </w:r>
    </w:p>
    <w:p w14:paraId="6AFD7EAA">
      <w:pPr>
        <w:spacing w:after="312" w:afterLines="100"/>
        <w:jc w:val="center"/>
        <w:outlineLvl w:val="0"/>
        <w:rPr>
          <w:rFonts w:hint="eastAsia" w:ascii="方正小标宋简体" w:eastAsia="方正小标宋简体"/>
          <w:sz w:val="36"/>
          <w:szCs w:val="32"/>
        </w:rPr>
      </w:pPr>
      <w:r>
        <w:rPr>
          <w:rFonts w:eastAsia="方正小标宋_GBK"/>
          <w:sz w:val="36"/>
          <w:szCs w:val="32"/>
        </w:rPr>
        <w:br w:type="page"/>
      </w:r>
      <w:bookmarkStart w:id="279" w:name="_Toc155861086"/>
      <w:bookmarkStart w:id="280" w:name="_Toc160715664"/>
      <w:r>
        <w:rPr>
          <w:rFonts w:hint="eastAsia" w:ascii="方正小标宋简体" w:eastAsia="方正小标宋简体"/>
          <w:sz w:val="36"/>
          <w:szCs w:val="32"/>
        </w:rPr>
        <w:t>第十章 强化资源保护和节约利用</w:t>
      </w:r>
      <w:bookmarkEnd w:id="256"/>
      <w:bookmarkEnd w:id="279"/>
      <w:bookmarkEnd w:id="280"/>
    </w:p>
    <w:p w14:paraId="4DD96DCB">
      <w:pPr>
        <w:spacing w:line="600" w:lineRule="exact"/>
        <w:ind w:firstLine="640" w:firstLineChars="200"/>
        <w:rPr>
          <w:rFonts w:eastAsia="仿宋_GB2312"/>
          <w:kern w:val="0"/>
          <w:sz w:val="32"/>
          <w:szCs w:val="32"/>
        </w:rPr>
      </w:pPr>
      <w:r>
        <w:rPr>
          <w:rFonts w:eastAsia="仿宋_GB2312"/>
          <w:kern w:val="0"/>
          <w:sz w:val="32"/>
          <w:szCs w:val="32"/>
        </w:rPr>
        <w:t>立足资源优势，把严格保护和合理利用自然资源作为经济社会可持续发展的关键，树立节约优先、集约利用的资源观，践行生态优先、绿色低碳的发展观，坚持在保护中利用、在利用中保护，推动资源优势转化为经济社会</w:t>
      </w:r>
      <w:r>
        <w:rPr>
          <w:rFonts w:hint="eastAsia" w:eastAsia="仿宋_GB2312"/>
          <w:kern w:val="0"/>
          <w:sz w:val="32"/>
          <w:szCs w:val="32"/>
        </w:rPr>
        <w:t>高质量</w:t>
      </w:r>
      <w:r>
        <w:rPr>
          <w:rFonts w:eastAsia="仿宋_GB2312"/>
          <w:kern w:val="0"/>
          <w:sz w:val="32"/>
          <w:szCs w:val="32"/>
        </w:rPr>
        <w:t>发展优势。</w:t>
      </w:r>
    </w:p>
    <w:p w14:paraId="3688817A">
      <w:pPr>
        <w:pStyle w:val="3"/>
        <w:spacing w:before="156" w:beforeLines="50" w:after="156" w:afterLines="50" w:line="600" w:lineRule="exact"/>
        <w:rPr>
          <w:rFonts w:ascii="Times New Roman" w:hAnsi="Times New Roman"/>
          <w:b w:val="0"/>
          <w:bCs w:val="0"/>
        </w:rPr>
      </w:pPr>
      <w:bookmarkStart w:id="281" w:name="_Toc58510797"/>
      <w:bookmarkStart w:id="282" w:name="_Toc155861087"/>
      <w:bookmarkStart w:id="283" w:name="_Toc160715665"/>
      <w:r>
        <w:rPr>
          <w:rFonts w:ascii="Times New Roman" w:hAnsi="Times New Roman"/>
          <w:b w:val="0"/>
          <w:bCs w:val="0"/>
        </w:rPr>
        <w:t>第一节 加大水资源节约和保护力度</w:t>
      </w:r>
      <w:bookmarkEnd w:id="281"/>
      <w:bookmarkEnd w:id="282"/>
      <w:bookmarkEnd w:id="283"/>
    </w:p>
    <w:p w14:paraId="3CF5419A">
      <w:pPr>
        <w:spacing w:line="600" w:lineRule="exact"/>
        <w:ind w:firstLine="640" w:firstLineChars="200"/>
        <w:rPr>
          <w:rFonts w:eastAsia="仿宋_GB2312"/>
          <w:kern w:val="0"/>
          <w:sz w:val="32"/>
          <w:szCs w:val="32"/>
        </w:rPr>
      </w:pPr>
      <w:r>
        <w:rPr>
          <w:rFonts w:eastAsia="楷体_GB2312"/>
          <w:bCs/>
          <w:kern w:val="0"/>
          <w:sz w:val="32"/>
          <w:szCs w:val="32"/>
        </w:rPr>
        <w:t>增强水资源保障能力。</w:t>
      </w:r>
      <w:r>
        <w:rPr>
          <w:rFonts w:eastAsia="仿宋_GB2312"/>
          <w:kern w:val="0"/>
          <w:sz w:val="32"/>
          <w:szCs w:val="32"/>
        </w:rPr>
        <w:t>坚持以水定城、以水定地、以水定人、以水定产，严格水资源刚性约束，优化国土空间保护开发格局，促进人口和城市科学合理布局，构建与水资源承载能力相适应的现代产业体系，退减不合理用水需求。强化全域水生态保护，合理开发利用水资源，加强流域系统治理，维护河湖湿地和地下水系统功能，提升水资源利用效率，提高水资源安全保障能力。到2035年，</w:t>
      </w:r>
      <w:r>
        <w:rPr>
          <w:rFonts w:hint="eastAsia" w:eastAsia="仿宋_GB2312"/>
          <w:kern w:val="0"/>
          <w:sz w:val="32"/>
          <w:szCs w:val="32"/>
        </w:rPr>
        <w:t>内蒙古自治区</w:t>
      </w:r>
      <w:r>
        <w:rPr>
          <w:rFonts w:eastAsia="仿宋_GB2312"/>
          <w:kern w:val="0"/>
          <w:sz w:val="32"/>
          <w:szCs w:val="32"/>
        </w:rPr>
        <w:t>用水总量控制在国家下达指标以内。</w:t>
      </w:r>
    </w:p>
    <w:p w14:paraId="6B6BFA21">
      <w:pPr>
        <w:spacing w:line="600" w:lineRule="exact"/>
        <w:ind w:firstLine="640" w:firstLineChars="200"/>
        <w:rPr>
          <w:rFonts w:eastAsia="仿宋_GB2312"/>
          <w:kern w:val="0"/>
          <w:sz w:val="32"/>
          <w:szCs w:val="32"/>
        </w:rPr>
      </w:pPr>
      <w:r>
        <w:rPr>
          <w:rFonts w:eastAsia="楷体_GB2312"/>
          <w:bCs/>
          <w:kern w:val="0"/>
          <w:sz w:val="32"/>
          <w:szCs w:val="32"/>
        </w:rPr>
        <w:t>加强水资源保护与治理。</w:t>
      </w:r>
      <w:r>
        <w:rPr>
          <w:rFonts w:eastAsia="仿宋_GB2312"/>
          <w:kern w:val="0"/>
          <w:sz w:val="32"/>
          <w:szCs w:val="32"/>
        </w:rPr>
        <w:t>加强水资源节约、水环境保护和水生态修复</w:t>
      </w:r>
      <w:r>
        <w:rPr>
          <w:rFonts w:hint="eastAsia" w:eastAsia="仿宋_GB2312"/>
          <w:kern w:val="0"/>
          <w:sz w:val="32"/>
          <w:szCs w:val="32"/>
        </w:rPr>
        <w:t>，</w:t>
      </w:r>
      <w:r>
        <w:rPr>
          <w:rFonts w:eastAsia="仿宋_GB2312"/>
          <w:kern w:val="0"/>
          <w:sz w:val="32"/>
          <w:szCs w:val="32"/>
        </w:rPr>
        <w:t>强化河湖水域空间用途管制，禁止违法违规侵占河湖水域空间。河道、湖泊及岸线利用应当符合行洪、蓄洪和输水的要求，逐步退出影响行洪安全和供水安全的开发利用活动。划定河湖岸线，积极开展重要水域生态综合治理、水域岸线管控、城市及周边水体治理、采矿区疏干水排放综合利用。强化</w:t>
      </w:r>
      <w:r>
        <w:rPr>
          <w:rFonts w:hint="eastAsia" w:eastAsia="仿宋_GB2312"/>
          <w:kern w:val="0"/>
          <w:sz w:val="32"/>
          <w:szCs w:val="32"/>
        </w:rPr>
        <w:t>“</w:t>
      </w:r>
      <w:r>
        <w:rPr>
          <w:rFonts w:eastAsia="仿宋_GB2312"/>
          <w:kern w:val="0"/>
          <w:sz w:val="32"/>
          <w:szCs w:val="32"/>
        </w:rPr>
        <w:t>绿廊+水廊</w:t>
      </w:r>
      <w:r>
        <w:rPr>
          <w:rFonts w:hint="eastAsia" w:eastAsia="仿宋_GB2312"/>
          <w:kern w:val="0"/>
          <w:sz w:val="32"/>
          <w:szCs w:val="32"/>
        </w:rPr>
        <w:t>”</w:t>
      </w:r>
      <w:r>
        <w:rPr>
          <w:rFonts w:eastAsia="仿宋_GB2312"/>
          <w:kern w:val="0"/>
          <w:sz w:val="32"/>
          <w:szCs w:val="32"/>
        </w:rPr>
        <w:t>相互支撑功能，加快森林公园、沙漠公园、草原公园和湿地公园建设，不断提高区域水源涵养能力，藏水于河湖湿地山林草沙。</w:t>
      </w:r>
    </w:p>
    <w:p w14:paraId="7F83370D">
      <w:pPr>
        <w:spacing w:line="600" w:lineRule="exact"/>
        <w:ind w:firstLine="640" w:firstLineChars="200"/>
        <w:rPr>
          <w:rFonts w:eastAsia="仿宋_GB2312"/>
          <w:kern w:val="0"/>
          <w:sz w:val="32"/>
          <w:szCs w:val="32"/>
        </w:rPr>
      </w:pPr>
      <w:r>
        <w:rPr>
          <w:rFonts w:eastAsia="楷体_GB2312"/>
          <w:bCs/>
          <w:kern w:val="0"/>
          <w:sz w:val="32"/>
          <w:szCs w:val="32"/>
        </w:rPr>
        <w:t>优化水资源开发利用分区。</w:t>
      </w:r>
      <w:r>
        <w:rPr>
          <w:rFonts w:eastAsia="仿宋_GB2312"/>
          <w:kern w:val="0"/>
          <w:sz w:val="32"/>
          <w:szCs w:val="32"/>
        </w:rPr>
        <w:t>坚持量水而行，优化水资源利用方式，促进水资源与人口经济布局相均衡。加大黑河流域生态治理，对地下水超采区采取禁采、限采措施，保障黑河下游额济纳绿洲的生态环境安全。持续实施黄河流域深度节水控水行动，地下水严重超采区实施轮作休耕，退减灌溉面积，严格限制开采深层地下水用于农业灌溉。内陆河流域主要以节水为主，调水为辅，缓解水资源不足的压力。西辽河流域适当压减耕地灌溉面积，增加节水灌溉投入，改良种植结构，逐步退减超采的地下水量，恢复河湖湿地生态水量，推动外调水资源利用。呼伦贝尔市、兴安盟加强黑土地水土保持，推进重点水源工程建设，稳定呼伦湖水域面积。</w:t>
      </w:r>
    </w:p>
    <w:p w14:paraId="0EBEA156">
      <w:pPr>
        <w:spacing w:line="600" w:lineRule="exact"/>
        <w:ind w:firstLine="640" w:firstLineChars="200"/>
        <w:rPr>
          <w:rFonts w:eastAsia="仿宋_GB2312"/>
          <w:kern w:val="0"/>
          <w:sz w:val="32"/>
          <w:szCs w:val="32"/>
        </w:rPr>
      </w:pPr>
      <w:r>
        <w:rPr>
          <w:rFonts w:eastAsia="楷体_GB2312"/>
          <w:bCs/>
          <w:kern w:val="0"/>
          <w:sz w:val="32"/>
          <w:szCs w:val="32"/>
        </w:rPr>
        <w:t>严控地下水超采。</w:t>
      </w:r>
      <w:r>
        <w:rPr>
          <w:rFonts w:eastAsia="仿宋_GB2312"/>
          <w:kern w:val="0"/>
          <w:sz w:val="32"/>
          <w:szCs w:val="32"/>
        </w:rPr>
        <w:t>控制地下水开采强度，结合水源置换、节水改造、调整用水结构、退灌</w:t>
      </w:r>
      <w:r>
        <w:rPr>
          <w:rFonts w:hint="eastAsia" w:eastAsia="仿宋_GB2312"/>
          <w:kern w:val="0"/>
          <w:sz w:val="32"/>
          <w:szCs w:val="32"/>
        </w:rPr>
        <w:t>还</w:t>
      </w:r>
      <w:r>
        <w:rPr>
          <w:rFonts w:eastAsia="仿宋_GB2312"/>
          <w:kern w:val="0"/>
          <w:sz w:val="32"/>
          <w:szCs w:val="32"/>
        </w:rPr>
        <w:t>水等措施推进地下水超采（超载）区域生态保护和综合治理。严格控制用水总量，合理确定地下水取水总量和水位管控指标，设定地下水开发利用上限。对地下水超采（超载）地区取水许可实行限审限批，管住用水</w:t>
      </w:r>
      <w:r>
        <w:rPr>
          <w:rFonts w:hint="eastAsia" w:eastAsia="仿宋_GB2312"/>
          <w:kern w:val="0"/>
          <w:sz w:val="32"/>
          <w:szCs w:val="32"/>
        </w:rPr>
        <w:t>“</w:t>
      </w:r>
      <w:r>
        <w:rPr>
          <w:rFonts w:eastAsia="仿宋_GB2312"/>
          <w:kern w:val="0"/>
          <w:sz w:val="32"/>
          <w:szCs w:val="32"/>
        </w:rPr>
        <w:t>增量</w:t>
      </w:r>
      <w:r>
        <w:rPr>
          <w:rFonts w:hint="eastAsia" w:eastAsia="仿宋_GB2312"/>
          <w:kern w:val="0"/>
          <w:sz w:val="32"/>
          <w:szCs w:val="32"/>
        </w:rPr>
        <w:t>”</w:t>
      </w:r>
      <w:r>
        <w:rPr>
          <w:rFonts w:eastAsia="仿宋_GB2312"/>
          <w:kern w:val="0"/>
          <w:sz w:val="32"/>
          <w:szCs w:val="32"/>
        </w:rPr>
        <w:t>；优化调整用水结构，进一步压减农业灌溉</w:t>
      </w:r>
      <w:r>
        <w:rPr>
          <w:rFonts w:hint="eastAsia" w:eastAsia="仿宋_GB2312"/>
          <w:kern w:val="0"/>
          <w:sz w:val="32"/>
          <w:szCs w:val="32"/>
        </w:rPr>
        <w:t>使</w:t>
      </w:r>
      <w:r>
        <w:rPr>
          <w:rFonts w:eastAsia="仿宋_GB2312"/>
          <w:kern w:val="0"/>
          <w:sz w:val="32"/>
          <w:szCs w:val="32"/>
        </w:rPr>
        <w:t>用地下水，逐步消化超用水</w:t>
      </w:r>
      <w:r>
        <w:rPr>
          <w:rFonts w:hint="eastAsia" w:eastAsia="仿宋_GB2312"/>
          <w:kern w:val="0"/>
          <w:sz w:val="32"/>
          <w:szCs w:val="32"/>
        </w:rPr>
        <w:t>“</w:t>
      </w:r>
      <w:r>
        <w:rPr>
          <w:rFonts w:eastAsia="仿宋_GB2312"/>
          <w:kern w:val="0"/>
          <w:sz w:val="32"/>
          <w:szCs w:val="32"/>
        </w:rPr>
        <w:t>存量</w:t>
      </w:r>
      <w:r>
        <w:rPr>
          <w:rFonts w:hint="eastAsia" w:eastAsia="仿宋_GB2312"/>
          <w:kern w:val="0"/>
          <w:sz w:val="32"/>
          <w:szCs w:val="32"/>
        </w:rPr>
        <w:t>”</w:t>
      </w:r>
      <w:r>
        <w:rPr>
          <w:rFonts w:eastAsia="仿宋_GB2312"/>
          <w:kern w:val="0"/>
          <w:sz w:val="32"/>
          <w:szCs w:val="32"/>
        </w:rPr>
        <w:t>。加强西辽河平原、鄂尔多斯台地、土默川平原及狼山</w:t>
      </w:r>
      <w:r>
        <w:rPr>
          <w:rFonts w:hint="eastAsia" w:eastAsia="仿宋_GB2312"/>
          <w:kern w:val="0"/>
          <w:sz w:val="32"/>
          <w:szCs w:val="32"/>
        </w:rPr>
        <w:t>-</w:t>
      </w:r>
      <w:r>
        <w:rPr>
          <w:rFonts w:eastAsia="仿宋_GB2312"/>
          <w:kern w:val="0"/>
          <w:sz w:val="32"/>
          <w:szCs w:val="32"/>
        </w:rPr>
        <w:t>乌拉山山前等地下水超采（超载）重点区域综合治理。</w:t>
      </w:r>
    </w:p>
    <w:p w14:paraId="08067DBB">
      <w:pPr>
        <w:pStyle w:val="3"/>
        <w:spacing w:before="156" w:beforeLines="50" w:after="156" w:afterLines="50" w:line="600" w:lineRule="exact"/>
        <w:rPr>
          <w:rFonts w:ascii="Times New Roman" w:hAnsi="Times New Roman"/>
          <w:b w:val="0"/>
          <w:bCs w:val="0"/>
        </w:rPr>
      </w:pPr>
      <w:bookmarkStart w:id="284" w:name="_Toc155861088"/>
      <w:bookmarkStart w:id="285" w:name="_Toc160715666"/>
      <w:r>
        <w:rPr>
          <w:rFonts w:ascii="Times New Roman" w:hAnsi="Times New Roman"/>
          <w:b w:val="0"/>
          <w:bCs w:val="0"/>
        </w:rPr>
        <w:t>第二节 加强重要生态资源保护</w:t>
      </w:r>
      <w:bookmarkEnd w:id="284"/>
      <w:bookmarkEnd w:id="285"/>
    </w:p>
    <w:p w14:paraId="0B5B0C87">
      <w:pPr>
        <w:pStyle w:val="27"/>
        <w:spacing w:after="0"/>
        <w:ind w:left="0" w:leftChars="0" w:firstLine="640" w:firstLineChars="200"/>
        <w:rPr>
          <w:rFonts w:eastAsia="仿宋_GB2312"/>
          <w:kern w:val="0"/>
          <w:sz w:val="32"/>
          <w:szCs w:val="32"/>
        </w:rPr>
      </w:pPr>
      <w:r>
        <w:rPr>
          <w:rFonts w:eastAsia="楷体_GB2312"/>
          <w:bCs/>
          <w:kern w:val="0"/>
          <w:sz w:val="32"/>
          <w:szCs w:val="32"/>
        </w:rPr>
        <w:t>强化森林保护。</w:t>
      </w:r>
      <w:r>
        <w:rPr>
          <w:rFonts w:eastAsia="仿宋_GB2312"/>
          <w:kern w:val="0"/>
          <w:sz w:val="32"/>
          <w:szCs w:val="32"/>
        </w:rPr>
        <w:t>完善天然林保护修复制度和森林生态效益补偿资金制度，充分发挥国营林场在国土绿化中的带动作用，进一步拓宽资金投入渠道。加强天然林保育、公益林管护、退化林修复，连通重要生态廊道，保障森林生态系统的安全、持续和高效，提高森林生态屏障在防风固沙、水源涵养、水土保持等方面的功能。严格执行限额采伐和凭证采伐的管理制度。全面停止天然林商业性采伐，不得将天然林改造为人工林，不得擅自将公益林改为商品林。巩固提升生态系统碳汇能力，加强重大林业有害生物防治，加强对古树名木及其自然环境保护，推进森林城市建设。</w:t>
      </w:r>
    </w:p>
    <w:p w14:paraId="333B2ACB">
      <w:pPr>
        <w:spacing w:line="600" w:lineRule="exact"/>
        <w:ind w:firstLine="640" w:firstLineChars="200"/>
        <w:rPr>
          <w:rFonts w:eastAsia="仿宋_GB2312"/>
          <w:kern w:val="0"/>
          <w:sz w:val="32"/>
          <w:szCs w:val="32"/>
        </w:rPr>
      </w:pPr>
      <w:r>
        <w:rPr>
          <w:rFonts w:eastAsia="楷体_GB2312"/>
          <w:bCs/>
          <w:kern w:val="0"/>
          <w:sz w:val="32"/>
          <w:szCs w:val="32"/>
        </w:rPr>
        <w:t>加强草原保护。</w:t>
      </w:r>
      <w:r>
        <w:rPr>
          <w:rFonts w:eastAsia="仿宋_GB2312"/>
          <w:kern w:val="0"/>
          <w:sz w:val="32"/>
          <w:szCs w:val="32"/>
        </w:rPr>
        <w:t>继续加强草原生态保护，建设草原自然公园，完善牧民草原保护补助奖励政策，提升退牧还草效益，统筹现代种草业发展空间布局，促进草原畜牧业转型升级。严格执行草原保护相关制度，加强退化草原分类治理，健全灾害防控、草原生态监测等科技服务体系，推进人、畜、草生态平衡。到2035年，草原退化沙化趋势得到有效控制。</w:t>
      </w:r>
    </w:p>
    <w:p w14:paraId="526FDEC6">
      <w:pPr>
        <w:spacing w:line="600" w:lineRule="exact"/>
        <w:ind w:firstLine="640" w:firstLineChars="200"/>
        <w:rPr>
          <w:rFonts w:eastAsia="仿宋_GB2312"/>
          <w:kern w:val="0"/>
          <w:sz w:val="32"/>
          <w:szCs w:val="32"/>
        </w:rPr>
      </w:pPr>
      <w:r>
        <w:rPr>
          <w:rFonts w:eastAsia="楷体_GB2312"/>
          <w:bCs/>
          <w:kern w:val="0"/>
          <w:sz w:val="32"/>
          <w:szCs w:val="32"/>
        </w:rPr>
        <w:t>推进湿地保护。</w:t>
      </w:r>
      <w:r>
        <w:rPr>
          <w:rFonts w:eastAsia="仿宋_GB2312"/>
          <w:kern w:val="0"/>
          <w:sz w:val="32"/>
          <w:szCs w:val="32"/>
        </w:rPr>
        <w:t>逐步完善湿地监测网络，加强呼伦湖、乌梁素海、岱海、达里诺尔、哈素海、黄旗海、居延海、乌拉盖湖、泊江海等重要湖泊湿地生态系统健康监测和评估的空间需求保障，严格限制占用国家重要湿地，压实</w:t>
      </w:r>
      <w:r>
        <w:rPr>
          <w:rFonts w:hint="eastAsia" w:eastAsia="仿宋_GB2312"/>
          <w:kern w:val="0"/>
          <w:sz w:val="32"/>
          <w:szCs w:val="32"/>
        </w:rPr>
        <w:t>地方各级人民政府</w:t>
      </w:r>
      <w:r>
        <w:rPr>
          <w:rFonts w:eastAsia="仿宋_GB2312"/>
          <w:kern w:val="0"/>
          <w:sz w:val="32"/>
          <w:szCs w:val="32"/>
        </w:rPr>
        <w:t>湿地保护管理责任。</w:t>
      </w:r>
    </w:p>
    <w:p w14:paraId="78A80AB7">
      <w:pPr>
        <w:spacing w:line="600" w:lineRule="exact"/>
        <w:ind w:firstLine="640" w:firstLineChars="200"/>
        <w:rPr>
          <w:rFonts w:eastAsia="仿宋_GB2312"/>
          <w:kern w:val="0"/>
          <w:sz w:val="32"/>
          <w:szCs w:val="32"/>
        </w:rPr>
      </w:pPr>
      <w:r>
        <w:rPr>
          <w:rFonts w:eastAsia="楷体_GB2312"/>
          <w:bCs/>
          <w:kern w:val="0"/>
          <w:sz w:val="32"/>
          <w:szCs w:val="32"/>
        </w:rPr>
        <w:t>巩固荒漠化防治成果。</w:t>
      </w:r>
      <w:r>
        <w:rPr>
          <w:rFonts w:eastAsia="仿宋_GB2312"/>
          <w:kern w:val="0"/>
          <w:sz w:val="32"/>
          <w:szCs w:val="32"/>
        </w:rPr>
        <w:t>加强风蚀沙化地区、沙尘源区、生态系统脆弱区的生态保护，采取工程固沙、封沙育林育草、飞播造林种草等保护措施，防止风沙蔓延扩张。对人为活动较为频繁的沙漠沙地周边和生态区位重要、风沙危害严重、林草覆盖度低的重点区域，加强沙化土地封禁保护，实现荒漠植被应保尽保。</w:t>
      </w:r>
    </w:p>
    <w:p w14:paraId="227CDAB3">
      <w:pPr>
        <w:pStyle w:val="3"/>
        <w:spacing w:before="156" w:beforeLines="50" w:after="156" w:afterLines="50" w:line="600" w:lineRule="exact"/>
        <w:rPr>
          <w:rFonts w:ascii="Times New Roman" w:hAnsi="Times New Roman"/>
          <w:b w:val="0"/>
          <w:bCs w:val="0"/>
        </w:rPr>
      </w:pPr>
      <w:bookmarkStart w:id="286" w:name="_Toc160715667"/>
      <w:bookmarkStart w:id="287" w:name="_Toc155861089"/>
      <w:r>
        <w:rPr>
          <w:rFonts w:ascii="Times New Roman" w:hAnsi="Times New Roman"/>
          <w:b w:val="0"/>
          <w:bCs w:val="0"/>
        </w:rPr>
        <w:t>第三节 提高建设用地利用效率</w:t>
      </w:r>
      <w:bookmarkEnd w:id="286"/>
      <w:bookmarkEnd w:id="287"/>
    </w:p>
    <w:p w14:paraId="35DAD6A3">
      <w:pPr>
        <w:spacing w:line="600" w:lineRule="exact"/>
        <w:ind w:firstLine="640" w:firstLineChars="200"/>
        <w:rPr>
          <w:rFonts w:eastAsia="仿宋_GB2312"/>
          <w:kern w:val="0"/>
          <w:sz w:val="32"/>
          <w:szCs w:val="32"/>
        </w:rPr>
      </w:pPr>
      <w:r>
        <w:rPr>
          <w:rFonts w:eastAsia="楷体_GB2312"/>
          <w:bCs/>
          <w:kern w:val="0"/>
          <w:sz w:val="32"/>
          <w:szCs w:val="32"/>
        </w:rPr>
        <w:t>促进建设用地提质增效。</w:t>
      </w:r>
      <w:r>
        <w:rPr>
          <w:rFonts w:eastAsia="仿宋_GB2312"/>
          <w:kern w:val="0"/>
          <w:sz w:val="32"/>
          <w:szCs w:val="32"/>
        </w:rPr>
        <w:t>坚持最严格的节约用地制度，实施建设用地总量和强度双控机制，有序推进城镇低效用地再开发利用，推动存量建设用地盘活与新增建设用地使用相挂钩机制建设，土地开发利用应符合相应规划用途的土壤环境质量要求。统筹中心城区、开发区和重点镇的建设用地需求，坚持内涵挖潜、优化结构和集约利用，重点保障基础设施、绿色产业、民生工程等高效环保项目用地。</w:t>
      </w:r>
    </w:p>
    <w:p w14:paraId="3BFC0B03">
      <w:pPr>
        <w:spacing w:line="600" w:lineRule="exact"/>
        <w:ind w:firstLine="640" w:firstLineChars="200"/>
        <w:rPr>
          <w:rFonts w:eastAsia="仿宋_GB2312"/>
          <w:kern w:val="0"/>
          <w:sz w:val="32"/>
          <w:szCs w:val="32"/>
        </w:rPr>
      </w:pPr>
      <w:r>
        <w:rPr>
          <w:rFonts w:eastAsia="楷体_GB2312"/>
          <w:bCs/>
          <w:kern w:val="0"/>
          <w:sz w:val="32"/>
          <w:szCs w:val="32"/>
        </w:rPr>
        <w:t>整合优化开发区。</w:t>
      </w:r>
      <w:r>
        <w:rPr>
          <w:rFonts w:eastAsia="仿宋_GB2312"/>
          <w:kern w:val="0"/>
          <w:sz w:val="32"/>
          <w:szCs w:val="32"/>
        </w:rPr>
        <w:t>坚持</w:t>
      </w:r>
      <w:r>
        <w:rPr>
          <w:rFonts w:hint="eastAsia" w:eastAsia="仿宋_GB2312"/>
          <w:kern w:val="0"/>
          <w:sz w:val="32"/>
          <w:szCs w:val="32"/>
        </w:rPr>
        <w:t>“</w:t>
      </w:r>
      <w:r>
        <w:rPr>
          <w:rFonts w:eastAsia="仿宋_GB2312"/>
          <w:kern w:val="0"/>
          <w:sz w:val="32"/>
          <w:szCs w:val="32"/>
        </w:rPr>
        <w:t>集中布局、集聚发展</w:t>
      </w:r>
      <w:r>
        <w:rPr>
          <w:rFonts w:hint="eastAsia" w:eastAsia="仿宋_GB2312"/>
          <w:kern w:val="0"/>
          <w:sz w:val="32"/>
          <w:szCs w:val="32"/>
        </w:rPr>
        <w:t>”</w:t>
      </w:r>
      <w:r>
        <w:rPr>
          <w:rFonts w:eastAsia="仿宋_GB2312"/>
          <w:kern w:val="0"/>
          <w:sz w:val="32"/>
          <w:szCs w:val="32"/>
        </w:rPr>
        <w:t>的原则，以国家和自治区重点开发区为主体，统筹加快各类开发区整合提升，促进企业向开发区集聚、要素向重点区域集中、产业向集群化发展。坚持以资源环境承载能力和资源禀赋为基础，引导开发区优势集聚、错位发展、有序竞争，实现产业资源的空间高效配置。</w:t>
      </w:r>
    </w:p>
    <w:p w14:paraId="18F8A6CA">
      <w:pPr>
        <w:spacing w:line="600" w:lineRule="exact"/>
        <w:ind w:firstLine="640" w:firstLineChars="200"/>
        <w:rPr>
          <w:rFonts w:eastAsia="仿宋_GB2312"/>
          <w:kern w:val="0"/>
          <w:sz w:val="32"/>
          <w:szCs w:val="32"/>
        </w:rPr>
      </w:pPr>
      <w:r>
        <w:rPr>
          <w:rFonts w:eastAsia="楷体_GB2312"/>
          <w:bCs/>
          <w:kern w:val="0"/>
          <w:sz w:val="32"/>
          <w:szCs w:val="32"/>
        </w:rPr>
        <w:t>合理安排农村牧区村庄建设用地。</w:t>
      </w:r>
      <w:r>
        <w:rPr>
          <w:rFonts w:eastAsia="仿宋_GB2312"/>
          <w:kern w:val="0"/>
          <w:sz w:val="32"/>
          <w:szCs w:val="32"/>
        </w:rPr>
        <w:t>尊重农牧民意愿和改善农牧民生活条件，坚持</w:t>
      </w:r>
      <w:r>
        <w:rPr>
          <w:rFonts w:hint="eastAsia" w:eastAsia="仿宋_GB2312"/>
          <w:kern w:val="0"/>
          <w:sz w:val="32"/>
          <w:szCs w:val="32"/>
        </w:rPr>
        <w:t>“</w:t>
      </w:r>
      <w:r>
        <w:rPr>
          <w:rFonts w:eastAsia="仿宋_GB2312"/>
          <w:kern w:val="0"/>
          <w:sz w:val="32"/>
          <w:szCs w:val="32"/>
        </w:rPr>
        <w:t>一户一宅</w:t>
      </w:r>
      <w:r>
        <w:rPr>
          <w:rFonts w:hint="eastAsia" w:eastAsia="仿宋_GB2312"/>
          <w:kern w:val="0"/>
          <w:sz w:val="32"/>
          <w:szCs w:val="32"/>
        </w:rPr>
        <w:t>”</w:t>
      </w:r>
      <w:r>
        <w:rPr>
          <w:rFonts w:eastAsia="仿宋_GB2312"/>
          <w:kern w:val="0"/>
          <w:sz w:val="32"/>
          <w:szCs w:val="32"/>
        </w:rPr>
        <w:t>原则，合理确定农村牧区村庄建设用地规模。严格按照村庄规划确定的建设用地布局进行村庄建设，禁止在村庄建设用地区域外选址新建住宅。严禁村庄建设乱占耕地特别是永久基本农田，充分挖掘村内空闲地和未利用地进行村庄建设，</w:t>
      </w:r>
      <w:r>
        <w:rPr>
          <w:rFonts w:hint="eastAsia" w:eastAsia="仿宋_GB2312"/>
          <w:kern w:val="0"/>
          <w:sz w:val="32"/>
          <w:szCs w:val="32"/>
        </w:rPr>
        <w:t>积极推进“空心村”整治，</w:t>
      </w:r>
      <w:r>
        <w:rPr>
          <w:rFonts w:eastAsia="仿宋_GB2312"/>
          <w:kern w:val="0"/>
          <w:sz w:val="32"/>
          <w:szCs w:val="32"/>
        </w:rPr>
        <w:t>适度引导居住分散的农牧民向中心城镇集中，提高</w:t>
      </w:r>
      <w:r>
        <w:rPr>
          <w:rFonts w:hint="eastAsia" w:eastAsia="仿宋_GB2312"/>
          <w:kern w:val="0"/>
          <w:sz w:val="32"/>
          <w:szCs w:val="32"/>
        </w:rPr>
        <w:t>农村牧区土地</w:t>
      </w:r>
      <w:r>
        <w:rPr>
          <w:rFonts w:eastAsia="仿宋_GB2312"/>
          <w:kern w:val="0"/>
          <w:sz w:val="32"/>
          <w:szCs w:val="32"/>
        </w:rPr>
        <w:t>利用效率。规划期内，</w:t>
      </w:r>
      <w:r>
        <w:rPr>
          <w:rFonts w:hint="eastAsia" w:eastAsia="仿宋_GB2312"/>
          <w:kern w:val="0"/>
          <w:sz w:val="32"/>
          <w:szCs w:val="32"/>
        </w:rPr>
        <w:t>严控</w:t>
      </w:r>
      <w:r>
        <w:rPr>
          <w:rFonts w:eastAsia="仿宋_GB2312"/>
          <w:kern w:val="0"/>
          <w:sz w:val="32"/>
          <w:szCs w:val="32"/>
        </w:rPr>
        <w:t>农村牧区居民点无序蔓延扩张。</w:t>
      </w:r>
    </w:p>
    <w:p w14:paraId="7C8681DB">
      <w:pPr>
        <w:pStyle w:val="27"/>
        <w:spacing w:after="0" w:line="600" w:lineRule="exact"/>
        <w:ind w:left="0" w:leftChars="0" w:firstLine="640" w:firstLineChars="200"/>
        <w:rPr>
          <w:rFonts w:eastAsia="仿宋_GB2312"/>
          <w:kern w:val="0"/>
          <w:sz w:val="32"/>
          <w:szCs w:val="32"/>
        </w:rPr>
      </w:pPr>
      <w:r>
        <w:rPr>
          <w:rFonts w:eastAsia="楷体_GB2312"/>
          <w:bCs/>
          <w:kern w:val="0"/>
          <w:sz w:val="32"/>
          <w:szCs w:val="32"/>
        </w:rPr>
        <w:t>转变土地利用方式。</w:t>
      </w:r>
      <w:r>
        <w:rPr>
          <w:rFonts w:eastAsia="仿宋_GB2312"/>
          <w:kern w:val="0"/>
          <w:sz w:val="32"/>
          <w:szCs w:val="32"/>
        </w:rPr>
        <w:t>积极推进土地利用方式</w:t>
      </w:r>
      <w:r>
        <w:rPr>
          <w:rFonts w:hint="eastAsia" w:eastAsia="仿宋_GB2312"/>
          <w:kern w:val="0"/>
          <w:sz w:val="32"/>
          <w:szCs w:val="32"/>
        </w:rPr>
        <w:t>由粗放向节约集约</w:t>
      </w:r>
      <w:r>
        <w:rPr>
          <w:rFonts w:eastAsia="仿宋_GB2312"/>
          <w:kern w:val="0"/>
          <w:sz w:val="32"/>
          <w:szCs w:val="32"/>
        </w:rPr>
        <w:t>转变，严格土地使用标准和节约集约评价，合理优化土地利用结构和空间布局，强化重大建设项目节约集约用地的刚性约束，新建项目力争达到国内同行业当前节约集约用地的先进水平，推动</w:t>
      </w:r>
      <w:r>
        <w:rPr>
          <w:rFonts w:hint="eastAsia" w:eastAsia="仿宋_GB2312"/>
          <w:kern w:val="0"/>
          <w:sz w:val="32"/>
          <w:szCs w:val="32"/>
        </w:rPr>
        <w:t>土地复合利用</w:t>
      </w:r>
      <w:r>
        <w:rPr>
          <w:rFonts w:eastAsia="仿宋_GB2312"/>
          <w:kern w:val="0"/>
          <w:sz w:val="32"/>
          <w:szCs w:val="32"/>
        </w:rPr>
        <w:t>，提高土地利用效率。</w:t>
      </w:r>
      <w:r>
        <w:rPr>
          <w:rFonts w:hint="eastAsia" w:eastAsia="仿宋_GB2312"/>
          <w:kern w:val="0"/>
          <w:sz w:val="32"/>
          <w:szCs w:val="32"/>
        </w:rPr>
        <w:t>强化</w:t>
      </w:r>
      <w:r>
        <w:rPr>
          <w:rFonts w:eastAsia="仿宋_GB2312"/>
          <w:kern w:val="0"/>
          <w:sz w:val="32"/>
          <w:szCs w:val="32"/>
        </w:rPr>
        <w:t>土地集约利用评价结果考核，倒逼土地利用方式转变。</w:t>
      </w:r>
    </w:p>
    <w:p w14:paraId="07719E35">
      <w:pPr>
        <w:pStyle w:val="3"/>
        <w:spacing w:before="156" w:beforeLines="50" w:after="156" w:afterLines="50" w:line="600" w:lineRule="exact"/>
        <w:rPr>
          <w:rFonts w:ascii="Times New Roman" w:hAnsi="Times New Roman"/>
          <w:b w:val="0"/>
          <w:bCs w:val="0"/>
        </w:rPr>
      </w:pPr>
      <w:bookmarkStart w:id="288" w:name="_Toc63629789"/>
      <w:bookmarkStart w:id="289" w:name="_Toc160715668"/>
      <w:bookmarkStart w:id="290" w:name="_Toc155861090"/>
      <w:bookmarkStart w:id="291" w:name="_Toc58510802"/>
      <w:r>
        <w:rPr>
          <w:rFonts w:ascii="Times New Roman" w:hAnsi="Times New Roman"/>
          <w:b w:val="0"/>
          <w:bCs w:val="0"/>
        </w:rPr>
        <w:t>第四节 推动矿产资源保护与综合利用</w:t>
      </w:r>
      <w:bookmarkEnd w:id="288"/>
      <w:bookmarkEnd w:id="289"/>
      <w:bookmarkEnd w:id="290"/>
    </w:p>
    <w:p w14:paraId="1AF0DCBA">
      <w:pPr>
        <w:spacing w:line="600" w:lineRule="exact"/>
        <w:ind w:firstLine="640" w:firstLineChars="200"/>
        <w:rPr>
          <w:rFonts w:eastAsia="仿宋_GB2312"/>
          <w:kern w:val="0"/>
          <w:sz w:val="32"/>
          <w:szCs w:val="32"/>
        </w:rPr>
      </w:pPr>
      <w:r>
        <w:rPr>
          <w:rFonts w:eastAsia="楷体_GB2312"/>
          <w:bCs/>
          <w:kern w:val="0"/>
          <w:sz w:val="32"/>
          <w:szCs w:val="32"/>
        </w:rPr>
        <w:t>保障矿产资源安全。</w:t>
      </w:r>
      <w:r>
        <w:rPr>
          <w:rFonts w:eastAsia="仿宋_GB2312"/>
          <w:kern w:val="0"/>
          <w:sz w:val="32"/>
          <w:szCs w:val="32"/>
        </w:rPr>
        <w:t>严守生态保护红线，统筹全区矿产资源保护、勘查和开发活动，坚持矿产资源特色化、有限性开发利用，加强基础性公益性地质调查，实施新一轮战略性矿产资源找矿突破行动，保障国家经济安全、国防安全和战略性新兴产业发展。推进矿产资源绿色勘查、集约开发和规模化利用，打造现代能源经济示范区、稀土产业高质量发展示范区、优势特色战略性新兴产业集群，保障国家矿产资源安全。到2035年，矿产资源开发利用结构和空间布局全面优化，资源利用效率进一步提升，实现资源开发与环境保护协调发展。</w:t>
      </w:r>
    </w:p>
    <w:bookmarkEnd w:id="291"/>
    <w:p w14:paraId="238C2EA0">
      <w:pPr>
        <w:spacing w:line="600" w:lineRule="exact"/>
        <w:ind w:firstLine="640" w:firstLineChars="200"/>
        <w:rPr>
          <w:rFonts w:eastAsia="仿宋_GB2312"/>
          <w:kern w:val="0"/>
          <w:sz w:val="32"/>
          <w:szCs w:val="32"/>
        </w:rPr>
      </w:pPr>
      <w:r>
        <w:rPr>
          <w:rFonts w:eastAsia="楷体_GB2312"/>
          <w:bCs/>
          <w:kern w:val="0"/>
          <w:sz w:val="32"/>
          <w:szCs w:val="32"/>
        </w:rPr>
        <w:t>优化调整矿产勘查布局。</w:t>
      </w:r>
      <w:r>
        <w:rPr>
          <w:rFonts w:eastAsia="仿宋_GB2312"/>
          <w:kern w:val="0"/>
          <w:sz w:val="32"/>
          <w:szCs w:val="32"/>
        </w:rPr>
        <w:t>矿产资源勘查重点，平面上由东向西转移，垂向上由地表向深部探测转移，主要集中在中西部地区</w:t>
      </w:r>
      <w:r>
        <w:rPr>
          <w:rFonts w:hint="eastAsia" w:eastAsia="仿宋_GB2312"/>
          <w:kern w:val="0"/>
          <w:sz w:val="32"/>
          <w:szCs w:val="32"/>
        </w:rPr>
        <w:t>、额济纳旗</w:t>
      </w:r>
      <w:r>
        <w:rPr>
          <w:rFonts w:eastAsia="仿宋_GB2312"/>
          <w:kern w:val="0"/>
          <w:sz w:val="32"/>
          <w:szCs w:val="32"/>
        </w:rPr>
        <w:t>北山</w:t>
      </w:r>
      <w:r>
        <w:rPr>
          <w:rFonts w:hint="eastAsia" w:eastAsia="仿宋_GB2312"/>
          <w:kern w:val="0"/>
          <w:sz w:val="32"/>
          <w:szCs w:val="32"/>
        </w:rPr>
        <w:t>及周边地区</w:t>
      </w:r>
      <w:r>
        <w:rPr>
          <w:rFonts w:eastAsia="仿宋_GB2312"/>
          <w:kern w:val="0"/>
          <w:sz w:val="32"/>
          <w:szCs w:val="32"/>
        </w:rPr>
        <w:t>，以战略性矿产、国家紧缺和自治区优势矿产为主，实施绿色勘查。结合重大建设项目、重点产业发展规划，围绕城乡建设总体布局及重点城镇、新型城镇化建设、新农村建设、文化旅游等景区建设，加强呼和浩特</w:t>
      </w:r>
      <w:r>
        <w:rPr>
          <w:rFonts w:hint="eastAsia" w:eastAsia="仿宋_GB2312"/>
          <w:kern w:val="0"/>
          <w:sz w:val="32"/>
          <w:szCs w:val="32"/>
        </w:rPr>
        <w:t>市</w:t>
      </w:r>
      <w:r>
        <w:rPr>
          <w:rFonts w:eastAsia="仿宋_GB2312"/>
          <w:kern w:val="0"/>
          <w:sz w:val="32"/>
          <w:szCs w:val="32"/>
        </w:rPr>
        <w:t>、包头</w:t>
      </w:r>
      <w:r>
        <w:rPr>
          <w:rFonts w:hint="eastAsia" w:eastAsia="仿宋_GB2312"/>
          <w:kern w:val="0"/>
          <w:sz w:val="32"/>
          <w:szCs w:val="32"/>
        </w:rPr>
        <w:t>市</w:t>
      </w:r>
      <w:r>
        <w:rPr>
          <w:rFonts w:eastAsia="仿宋_GB2312"/>
          <w:kern w:val="0"/>
          <w:sz w:val="32"/>
          <w:szCs w:val="32"/>
        </w:rPr>
        <w:t>、鄂尔多斯</w:t>
      </w:r>
      <w:r>
        <w:rPr>
          <w:rFonts w:hint="eastAsia" w:eastAsia="仿宋_GB2312"/>
          <w:kern w:val="0"/>
          <w:sz w:val="32"/>
          <w:szCs w:val="32"/>
        </w:rPr>
        <w:t>市</w:t>
      </w:r>
      <w:r>
        <w:rPr>
          <w:rFonts w:eastAsia="仿宋_GB2312"/>
          <w:kern w:val="0"/>
          <w:sz w:val="32"/>
          <w:szCs w:val="32"/>
        </w:rPr>
        <w:t>等地区地热资源勘查与</w:t>
      </w:r>
      <w:r>
        <w:rPr>
          <w:rFonts w:hint="eastAsia" w:eastAsia="仿宋_GB2312"/>
          <w:kern w:val="0"/>
          <w:sz w:val="32"/>
          <w:szCs w:val="32"/>
        </w:rPr>
        <w:t>开发</w:t>
      </w:r>
      <w:r>
        <w:rPr>
          <w:rFonts w:eastAsia="仿宋_GB2312"/>
          <w:kern w:val="0"/>
          <w:sz w:val="32"/>
          <w:szCs w:val="32"/>
        </w:rPr>
        <w:t>利用。自然保护地核心保护区内除国家允许开展的勘查活动外原则上禁止勘查；自然保护地核心保护区以外的生态保护红线，可开展基础地质调查和战略性矿产远景调查等公益性工作以及国家允许的其他勘查活动；永久基本农田内的勘查严格按照国家相关规定进行管控。</w:t>
      </w:r>
    </w:p>
    <w:p w14:paraId="71DCED49">
      <w:pPr>
        <w:spacing w:line="600" w:lineRule="exact"/>
        <w:ind w:firstLine="640" w:firstLineChars="200"/>
        <w:rPr>
          <w:rFonts w:eastAsia="方正小标宋"/>
          <w:sz w:val="40"/>
          <w:szCs w:val="32"/>
        </w:rPr>
      </w:pPr>
      <w:r>
        <w:rPr>
          <w:rFonts w:eastAsia="楷体_GB2312"/>
          <w:bCs/>
          <w:kern w:val="0"/>
          <w:sz w:val="32"/>
          <w:szCs w:val="32"/>
        </w:rPr>
        <w:t>合理安排矿产资源开采布局。</w:t>
      </w:r>
      <w:r>
        <w:rPr>
          <w:rFonts w:eastAsia="仿宋_GB2312"/>
          <w:kern w:val="0"/>
          <w:sz w:val="32"/>
          <w:szCs w:val="32"/>
        </w:rPr>
        <w:t>矿产资源开采主要集中在能源资源基地和国家规划矿区。对永久基本农田、生态保护红线内</w:t>
      </w:r>
      <w:r>
        <w:rPr>
          <w:rFonts w:hint="eastAsia" w:eastAsia="仿宋_GB2312"/>
          <w:kern w:val="0"/>
          <w:sz w:val="32"/>
          <w:szCs w:val="32"/>
        </w:rPr>
        <w:t>的</w:t>
      </w:r>
      <w:r>
        <w:rPr>
          <w:rFonts w:eastAsia="仿宋_GB2312"/>
          <w:kern w:val="0"/>
          <w:sz w:val="32"/>
          <w:szCs w:val="32"/>
        </w:rPr>
        <w:t>战略性矿产实施差别化管控。划定战略性矿产资源保护和储备区域，将未纳入能源资源基地、国家规划矿区且应进行重点保护而不得被压覆或占用的战略性矿产地或矿集区</w:t>
      </w:r>
      <w:r>
        <w:rPr>
          <w:rFonts w:hint="eastAsia" w:eastAsia="仿宋_GB2312"/>
          <w:kern w:val="0"/>
          <w:sz w:val="32"/>
          <w:szCs w:val="32"/>
        </w:rPr>
        <w:t>，</w:t>
      </w:r>
      <w:r>
        <w:rPr>
          <w:rFonts w:eastAsia="仿宋_GB2312"/>
          <w:kern w:val="0"/>
          <w:sz w:val="32"/>
          <w:szCs w:val="32"/>
        </w:rPr>
        <w:t>受当前技术、经济或生态环境条件因素限制，暂时不宜开发的大中型矿产地或矿集区</w:t>
      </w:r>
      <w:r>
        <w:rPr>
          <w:rFonts w:hint="eastAsia" w:eastAsia="仿宋_GB2312"/>
          <w:kern w:val="0"/>
          <w:sz w:val="32"/>
          <w:szCs w:val="32"/>
        </w:rPr>
        <w:t>，以</w:t>
      </w:r>
      <w:r>
        <w:rPr>
          <w:rFonts w:eastAsia="仿宋_GB2312"/>
          <w:kern w:val="0"/>
          <w:sz w:val="32"/>
          <w:szCs w:val="32"/>
        </w:rPr>
        <w:t>及符合条件可纳入国家矿产地储备管理的区域进行储备保护。在鄂尔多斯盆地等传统能源集中分布地区积极探索布局驱油驱气及咸水层封存相结合的碳捕集利用与封存空间。</w:t>
      </w:r>
    </w:p>
    <w:p w14:paraId="40850306">
      <w:pPr>
        <w:spacing w:after="312" w:afterLines="100"/>
        <w:jc w:val="center"/>
        <w:outlineLvl w:val="0"/>
        <w:rPr>
          <w:rFonts w:hint="eastAsia" w:ascii="方正小标宋简体" w:eastAsia="方正小标宋简体"/>
          <w:sz w:val="36"/>
          <w:szCs w:val="32"/>
        </w:rPr>
      </w:pPr>
      <w:r>
        <w:rPr>
          <w:rFonts w:eastAsia="方正小标宋_GBK"/>
          <w:sz w:val="36"/>
          <w:szCs w:val="32"/>
        </w:rPr>
        <w:br w:type="page"/>
      </w:r>
      <w:bookmarkStart w:id="292" w:name="_Toc160715669"/>
      <w:bookmarkStart w:id="293" w:name="_Toc155861091"/>
      <w:r>
        <w:rPr>
          <w:rFonts w:hint="eastAsia" w:ascii="方正小标宋简体" w:eastAsia="方正小标宋简体"/>
          <w:sz w:val="36"/>
          <w:szCs w:val="32"/>
        </w:rPr>
        <w:t>第十一章 提高国土空间支撑保障能力</w:t>
      </w:r>
      <w:bookmarkEnd w:id="292"/>
      <w:bookmarkEnd w:id="293"/>
    </w:p>
    <w:p w14:paraId="11A1E157">
      <w:pPr>
        <w:pStyle w:val="27"/>
        <w:ind w:left="0" w:leftChars="0" w:firstLine="640" w:firstLineChars="200"/>
        <w:rPr>
          <w:rFonts w:eastAsia="仿宋_GB2312"/>
          <w:kern w:val="0"/>
          <w:sz w:val="32"/>
          <w:szCs w:val="32"/>
        </w:rPr>
      </w:pPr>
      <w:r>
        <w:rPr>
          <w:rFonts w:eastAsia="仿宋_GB2312"/>
          <w:kern w:val="0"/>
          <w:sz w:val="32"/>
          <w:szCs w:val="32"/>
        </w:rPr>
        <w:t>推动形成与国土</w:t>
      </w:r>
      <w:r>
        <w:rPr>
          <w:rFonts w:hint="eastAsia" w:eastAsia="仿宋_GB2312"/>
          <w:kern w:val="0"/>
          <w:sz w:val="32"/>
          <w:szCs w:val="32"/>
        </w:rPr>
        <w:t>空间</w:t>
      </w:r>
      <w:r>
        <w:rPr>
          <w:rFonts w:eastAsia="仿宋_GB2312"/>
          <w:kern w:val="0"/>
          <w:sz w:val="32"/>
          <w:szCs w:val="32"/>
        </w:rPr>
        <w:t>保护利用总体格局相适应，资源和能源保障更加有力、基础设施更加完善、防灾减灾更加高效、生态屏障更加稳固、风电光伏清洁能源保障有力的支撑体系，助力实现碳达峰碳中和目标，</w:t>
      </w:r>
      <w:r>
        <w:rPr>
          <w:rFonts w:hint="eastAsia" w:eastAsia="仿宋_GB2312"/>
          <w:kern w:val="0"/>
          <w:sz w:val="32"/>
          <w:szCs w:val="32"/>
        </w:rPr>
        <w:t>加强对</w:t>
      </w:r>
      <w:r>
        <w:rPr>
          <w:rFonts w:eastAsia="仿宋_GB2312"/>
          <w:kern w:val="0"/>
          <w:sz w:val="32"/>
          <w:szCs w:val="32"/>
        </w:rPr>
        <w:t>大数据集成、智能感知、万物互联的国土空间支撑保障。</w:t>
      </w:r>
    </w:p>
    <w:p w14:paraId="49A1523F">
      <w:pPr>
        <w:pStyle w:val="3"/>
        <w:spacing w:before="156" w:beforeLines="50" w:after="156" w:afterLines="50" w:line="600" w:lineRule="exact"/>
        <w:rPr>
          <w:rFonts w:ascii="Times New Roman" w:hAnsi="Times New Roman"/>
          <w:b w:val="0"/>
          <w:bCs w:val="0"/>
        </w:rPr>
      </w:pPr>
      <w:bookmarkStart w:id="294" w:name="_Toc41137929"/>
      <w:bookmarkStart w:id="295" w:name="_Toc58510803"/>
      <w:bookmarkStart w:id="296" w:name="_Toc43113704"/>
      <w:bookmarkStart w:id="297" w:name="_Toc155861092"/>
      <w:bookmarkStart w:id="298" w:name="_Toc160715670"/>
      <w:r>
        <w:rPr>
          <w:rFonts w:ascii="Times New Roman" w:hAnsi="Times New Roman"/>
          <w:b w:val="0"/>
          <w:bCs w:val="0"/>
        </w:rPr>
        <w:t>第一节 保障综合交通运输</w:t>
      </w:r>
      <w:bookmarkEnd w:id="294"/>
      <w:bookmarkEnd w:id="295"/>
      <w:bookmarkEnd w:id="296"/>
      <w:r>
        <w:rPr>
          <w:rFonts w:ascii="Times New Roman" w:hAnsi="Times New Roman"/>
          <w:b w:val="0"/>
          <w:bCs w:val="0"/>
        </w:rPr>
        <w:t>网络空间</w:t>
      </w:r>
      <w:bookmarkEnd w:id="297"/>
      <w:bookmarkEnd w:id="298"/>
    </w:p>
    <w:p w14:paraId="1114A1E9">
      <w:pPr>
        <w:spacing w:line="600" w:lineRule="exact"/>
        <w:ind w:firstLine="640" w:firstLineChars="200"/>
        <w:rPr>
          <w:rFonts w:eastAsia="仿宋_GB2312"/>
          <w:kern w:val="0"/>
          <w:sz w:val="32"/>
          <w:szCs w:val="32"/>
        </w:rPr>
      </w:pPr>
      <w:r>
        <w:rPr>
          <w:rFonts w:eastAsia="楷体_GB2312"/>
          <w:bCs/>
          <w:kern w:val="0"/>
          <w:sz w:val="32"/>
          <w:szCs w:val="32"/>
        </w:rPr>
        <w:t>构筑保障有力的综合运输通道。</w:t>
      </w:r>
      <w:r>
        <w:rPr>
          <w:rFonts w:eastAsia="仿宋_GB2312"/>
          <w:kern w:val="0"/>
          <w:sz w:val="32"/>
          <w:szCs w:val="32"/>
        </w:rPr>
        <w:t>以</w:t>
      </w:r>
      <w:r>
        <w:rPr>
          <w:rFonts w:hint="eastAsia" w:eastAsia="仿宋_GB2312"/>
          <w:kern w:val="0"/>
          <w:sz w:val="32"/>
          <w:szCs w:val="32"/>
        </w:rPr>
        <w:t>“</w:t>
      </w:r>
      <w:r>
        <w:rPr>
          <w:rFonts w:eastAsia="仿宋_GB2312"/>
          <w:kern w:val="0"/>
          <w:sz w:val="32"/>
          <w:szCs w:val="32"/>
        </w:rPr>
        <w:t>四横十二纵</w:t>
      </w:r>
      <w:r>
        <w:rPr>
          <w:rFonts w:hint="eastAsia" w:eastAsia="仿宋_GB2312"/>
          <w:kern w:val="0"/>
          <w:sz w:val="32"/>
          <w:szCs w:val="32"/>
        </w:rPr>
        <w:t>”</w:t>
      </w:r>
      <w:r>
        <w:rPr>
          <w:rFonts w:eastAsia="仿宋_GB2312"/>
          <w:kern w:val="0"/>
          <w:sz w:val="32"/>
          <w:szCs w:val="32"/>
        </w:rPr>
        <w:t>综合交通运输通道建设为基础，保障铁路、公路、航空和综合运输大枢纽用地空间，打造互联互通综合运输交通体系。</w:t>
      </w:r>
      <w:r>
        <w:rPr>
          <w:rFonts w:hint="eastAsia" w:eastAsia="仿宋_GB2312"/>
          <w:kern w:val="0"/>
          <w:sz w:val="32"/>
          <w:szCs w:val="32"/>
        </w:rPr>
        <w:t>“</w:t>
      </w:r>
      <w:r>
        <w:rPr>
          <w:rFonts w:eastAsia="仿宋_GB2312"/>
          <w:kern w:val="0"/>
          <w:sz w:val="32"/>
          <w:szCs w:val="32"/>
        </w:rPr>
        <w:t>四横</w:t>
      </w:r>
      <w:r>
        <w:rPr>
          <w:rFonts w:hint="eastAsia" w:eastAsia="仿宋_GB2312"/>
          <w:kern w:val="0"/>
          <w:sz w:val="32"/>
          <w:szCs w:val="32"/>
        </w:rPr>
        <w:t>”</w:t>
      </w:r>
      <w:r>
        <w:rPr>
          <w:rFonts w:eastAsia="仿宋_GB2312"/>
          <w:kern w:val="0"/>
          <w:sz w:val="32"/>
          <w:szCs w:val="32"/>
        </w:rPr>
        <w:t>即蒙西通道（阿拉善</w:t>
      </w:r>
      <w:r>
        <w:rPr>
          <w:rFonts w:hint="eastAsia" w:eastAsia="仿宋_GB2312"/>
          <w:kern w:val="0"/>
          <w:sz w:val="32"/>
          <w:szCs w:val="32"/>
        </w:rPr>
        <w:t>-</w:t>
      </w:r>
      <w:r>
        <w:rPr>
          <w:rFonts w:eastAsia="仿宋_GB2312"/>
          <w:kern w:val="0"/>
          <w:sz w:val="32"/>
          <w:szCs w:val="32"/>
        </w:rPr>
        <w:t>北京）、蒙东通道（齐齐哈尔</w:t>
      </w:r>
      <w:r>
        <w:rPr>
          <w:rFonts w:hint="eastAsia" w:eastAsia="仿宋_GB2312"/>
          <w:kern w:val="0"/>
          <w:sz w:val="32"/>
          <w:szCs w:val="32"/>
        </w:rPr>
        <w:t>-</w:t>
      </w:r>
      <w:r>
        <w:rPr>
          <w:rFonts w:eastAsia="仿宋_GB2312"/>
          <w:kern w:val="0"/>
          <w:sz w:val="32"/>
          <w:szCs w:val="32"/>
        </w:rPr>
        <w:t>通辽</w:t>
      </w:r>
      <w:r>
        <w:rPr>
          <w:rFonts w:hint="eastAsia" w:eastAsia="仿宋_GB2312"/>
          <w:kern w:val="0"/>
          <w:sz w:val="32"/>
          <w:szCs w:val="32"/>
        </w:rPr>
        <w:t>-</w:t>
      </w:r>
      <w:r>
        <w:rPr>
          <w:rFonts w:eastAsia="仿宋_GB2312"/>
          <w:kern w:val="0"/>
          <w:sz w:val="32"/>
          <w:szCs w:val="32"/>
        </w:rPr>
        <w:t>北京）、东西通道（呼伦贝尔</w:t>
      </w:r>
      <w:r>
        <w:rPr>
          <w:rFonts w:hint="eastAsia" w:eastAsia="仿宋_GB2312"/>
          <w:kern w:val="0"/>
          <w:sz w:val="32"/>
          <w:szCs w:val="32"/>
        </w:rPr>
        <w:t>-</w:t>
      </w:r>
      <w:r>
        <w:rPr>
          <w:rFonts w:eastAsia="仿宋_GB2312"/>
          <w:kern w:val="0"/>
          <w:sz w:val="32"/>
          <w:szCs w:val="32"/>
        </w:rPr>
        <w:t>阿拉善）、沿边通道（室韦</w:t>
      </w:r>
      <w:r>
        <w:rPr>
          <w:rFonts w:hint="eastAsia" w:eastAsia="仿宋_GB2312"/>
          <w:kern w:val="0"/>
          <w:sz w:val="32"/>
          <w:szCs w:val="32"/>
        </w:rPr>
        <w:t>-</w:t>
      </w:r>
      <w:r>
        <w:rPr>
          <w:rFonts w:eastAsia="仿宋_GB2312"/>
          <w:kern w:val="0"/>
          <w:sz w:val="32"/>
          <w:szCs w:val="32"/>
        </w:rPr>
        <w:t>策克），</w:t>
      </w:r>
      <w:r>
        <w:rPr>
          <w:rFonts w:hint="eastAsia" w:eastAsia="仿宋_GB2312"/>
          <w:kern w:val="0"/>
          <w:sz w:val="32"/>
          <w:szCs w:val="32"/>
        </w:rPr>
        <w:t>“</w:t>
      </w:r>
      <w:r>
        <w:rPr>
          <w:rFonts w:eastAsia="仿宋_GB2312"/>
          <w:kern w:val="0"/>
          <w:sz w:val="32"/>
          <w:szCs w:val="32"/>
        </w:rPr>
        <w:t>十二纵</w:t>
      </w:r>
      <w:r>
        <w:rPr>
          <w:rFonts w:hint="eastAsia" w:eastAsia="仿宋_GB2312"/>
          <w:kern w:val="0"/>
          <w:sz w:val="32"/>
          <w:szCs w:val="32"/>
        </w:rPr>
        <w:t>”</w:t>
      </w:r>
      <w:r>
        <w:rPr>
          <w:rFonts w:eastAsia="仿宋_GB2312"/>
          <w:kern w:val="0"/>
          <w:sz w:val="32"/>
          <w:szCs w:val="32"/>
        </w:rPr>
        <w:t>即满洲里</w:t>
      </w:r>
      <w:r>
        <w:rPr>
          <w:rFonts w:hint="eastAsia" w:eastAsia="仿宋_GB2312"/>
          <w:kern w:val="0"/>
          <w:sz w:val="32"/>
          <w:szCs w:val="32"/>
        </w:rPr>
        <w:t>-</w:t>
      </w:r>
      <w:r>
        <w:rPr>
          <w:rFonts w:eastAsia="仿宋_GB2312"/>
          <w:kern w:val="0"/>
          <w:sz w:val="32"/>
          <w:szCs w:val="32"/>
        </w:rPr>
        <w:t>哈尔滨通道、阿尔山</w:t>
      </w:r>
      <w:r>
        <w:rPr>
          <w:rFonts w:hint="eastAsia" w:eastAsia="仿宋_GB2312"/>
          <w:kern w:val="0"/>
          <w:sz w:val="32"/>
          <w:szCs w:val="32"/>
        </w:rPr>
        <w:t>-</w:t>
      </w:r>
      <w:r>
        <w:rPr>
          <w:rFonts w:eastAsia="仿宋_GB2312"/>
          <w:kern w:val="0"/>
          <w:sz w:val="32"/>
          <w:szCs w:val="32"/>
        </w:rPr>
        <w:t>长春通道、霍林郭勒</w:t>
      </w:r>
      <w:r>
        <w:rPr>
          <w:rFonts w:hint="eastAsia" w:eastAsia="仿宋_GB2312"/>
          <w:kern w:val="0"/>
          <w:sz w:val="32"/>
          <w:szCs w:val="32"/>
        </w:rPr>
        <w:t>-</w:t>
      </w:r>
      <w:r>
        <w:rPr>
          <w:rFonts w:eastAsia="仿宋_GB2312"/>
          <w:kern w:val="0"/>
          <w:sz w:val="32"/>
          <w:szCs w:val="32"/>
        </w:rPr>
        <w:t>沈阳通道、珠恩嘎达布其</w:t>
      </w:r>
      <w:r>
        <w:rPr>
          <w:rFonts w:hint="eastAsia" w:eastAsia="仿宋_GB2312"/>
          <w:kern w:val="0"/>
          <w:sz w:val="32"/>
          <w:szCs w:val="32"/>
        </w:rPr>
        <w:t>-</w:t>
      </w:r>
      <w:r>
        <w:rPr>
          <w:rFonts w:eastAsia="仿宋_GB2312"/>
          <w:kern w:val="0"/>
          <w:sz w:val="32"/>
          <w:szCs w:val="32"/>
        </w:rPr>
        <w:t>锦州通道、二连浩特</w:t>
      </w:r>
      <w:r>
        <w:rPr>
          <w:rFonts w:hint="eastAsia" w:eastAsia="仿宋_GB2312"/>
          <w:kern w:val="0"/>
          <w:sz w:val="32"/>
          <w:szCs w:val="32"/>
        </w:rPr>
        <w:t>-</w:t>
      </w:r>
      <w:r>
        <w:rPr>
          <w:rFonts w:eastAsia="仿宋_GB2312"/>
          <w:kern w:val="0"/>
          <w:sz w:val="32"/>
          <w:szCs w:val="32"/>
        </w:rPr>
        <w:t>秦皇岛通道、锡林浩特</w:t>
      </w:r>
      <w:r>
        <w:rPr>
          <w:rFonts w:hint="eastAsia" w:eastAsia="仿宋_GB2312"/>
          <w:kern w:val="0"/>
          <w:sz w:val="32"/>
          <w:szCs w:val="32"/>
        </w:rPr>
        <w:t>-</w:t>
      </w:r>
      <w:r>
        <w:rPr>
          <w:rFonts w:eastAsia="仿宋_GB2312"/>
          <w:kern w:val="0"/>
          <w:sz w:val="32"/>
          <w:szCs w:val="32"/>
        </w:rPr>
        <w:t>北京通道、二连浩特</w:t>
      </w:r>
      <w:r>
        <w:rPr>
          <w:rFonts w:hint="eastAsia" w:eastAsia="仿宋_GB2312"/>
          <w:kern w:val="0"/>
          <w:sz w:val="32"/>
          <w:szCs w:val="32"/>
        </w:rPr>
        <w:t>-</w:t>
      </w:r>
      <w:r>
        <w:rPr>
          <w:rFonts w:eastAsia="仿宋_GB2312"/>
          <w:kern w:val="0"/>
          <w:sz w:val="32"/>
          <w:szCs w:val="32"/>
        </w:rPr>
        <w:t>太原通道、苏尼特右旗</w:t>
      </w:r>
      <w:r>
        <w:rPr>
          <w:rFonts w:hint="eastAsia" w:eastAsia="仿宋_GB2312"/>
          <w:kern w:val="0"/>
          <w:sz w:val="32"/>
          <w:szCs w:val="32"/>
        </w:rPr>
        <w:t>-</w:t>
      </w:r>
      <w:r>
        <w:rPr>
          <w:rFonts w:eastAsia="仿宋_GB2312"/>
          <w:kern w:val="0"/>
          <w:sz w:val="32"/>
          <w:szCs w:val="32"/>
        </w:rPr>
        <w:t>朔州通道、满都拉</w:t>
      </w:r>
      <w:r>
        <w:rPr>
          <w:rFonts w:hint="eastAsia" w:eastAsia="仿宋_GB2312"/>
          <w:kern w:val="0"/>
          <w:sz w:val="32"/>
          <w:szCs w:val="32"/>
        </w:rPr>
        <w:t>-</w:t>
      </w:r>
      <w:r>
        <w:rPr>
          <w:rFonts w:eastAsia="仿宋_GB2312"/>
          <w:kern w:val="0"/>
          <w:sz w:val="32"/>
          <w:szCs w:val="32"/>
        </w:rPr>
        <w:t>西安通道、甘其毛都</w:t>
      </w:r>
      <w:r>
        <w:rPr>
          <w:rFonts w:hint="eastAsia" w:eastAsia="仿宋_GB2312"/>
          <w:kern w:val="0"/>
          <w:sz w:val="32"/>
          <w:szCs w:val="32"/>
        </w:rPr>
        <w:t>-</w:t>
      </w:r>
      <w:r>
        <w:rPr>
          <w:rFonts w:eastAsia="仿宋_GB2312"/>
          <w:kern w:val="0"/>
          <w:sz w:val="32"/>
          <w:szCs w:val="32"/>
        </w:rPr>
        <w:t>盐池通道、乌力吉</w:t>
      </w:r>
      <w:r>
        <w:rPr>
          <w:rFonts w:hint="eastAsia" w:eastAsia="仿宋_GB2312"/>
          <w:kern w:val="0"/>
          <w:sz w:val="32"/>
          <w:szCs w:val="32"/>
        </w:rPr>
        <w:t>-</w:t>
      </w:r>
      <w:r>
        <w:rPr>
          <w:rFonts w:eastAsia="仿宋_GB2312"/>
          <w:kern w:val="0"/>
          <w:sz w:val="32"/>
          <w:szCs w:val="32"/>
        </w:rPr>
        <w:t>重庆通道、策克</w:t>
      </w:r>
      <w:r>
        <w:rPr>
          <w:rFonts w:hint="eastAsia" w:eastAsia="仿宋_GB2312"/>
          <w:kern w:val="0"/>
          <w:sz w:val="32"/>
          <w:szCs w:val="32"/>
        </w:rPr>
        <w:t>-</w:t>
      </w:r>
      <w:r>
        <w:rPr>
          <w:rFonts w:eastAsia="仿宋_GB2312"/>
          <w:kern w:val="0"/>
          <w:sz w:val="32"/>
          <w:szCs w:val="32"/>
        </w:rPr>
        <w:t>酒泉通道，保障京藏、京新通道功能提升的空间需求和额尔古纳河</w:t>
      </w:r>
      <w:r>
        <w:rPr>
          <w:rFonts w:hint="eastAsia" w:eastAsia="仿宋_GB2312"/>
          <w:kern w:val="0"/>
          <w:sz w:val="32"/>
          <w:szCs w:val="32"/>
        </w:rPr>
        <w:t>-</w:t>
      </w:r>
      <w:r>
        <w:rPr>
          <w:rFonts w:eastAsia="仿宋_GB2312"/>
          <w:kern w:val="0"/>
          <w:sz w:val="32"/>
          <w:szCs w:val="32"/>
        </w:rPr>
        <w:t>黑龙江水路运输通道空间需求，形成东中西部交通协调发展新格局。</w:t>
      </w:r>
    </w:p>
    <w:p w14:paraId="55F05186">
      <w:pPr>
        <w:pStyle w:val="27"/>
        <w:spacing w:after="0" w:line="600" w:lineRule="exact"/>
        <w:ind w:left="0" w:leftChars="0" w:firstLine="640" w:firstLineChars="200"/>
        <w:rPr>
          <w:rFonts w:eastAsia="仿宋_GB2312"/>
          <w:kern w:val="0"/>
          <w:sz w:val="32"/>
          <w:szCs w:val="32"/>
        </w:rPr>
      </w:pPr>
      <w:r>
        <w:rPr>
          <w:rFonts w:eastAsia="楷体_GB2312"/>
          <w:bCs/>
          <w:kern w:val="0"/>
          <w:sz w:val="32"/>
          <w:szCs w:val="32"/>
        </w:rPr>
        <w:t>统筹综合交通网络建设空间。</w:t>
      </w:r>
      <w:r>
        <w:rPr>
          <w:rFonts w:eastAsia="仿宋_GB2312"/>
          <w:kern w:val="0"/>
          <w:sz w:val="32"/>
          <w:szCs w:val="32"/>
        </w:rPr>
        <w:t>完善交通网络结构，增强交通运输能力，补齐基础设施短板，全面提升交通运输效率和服务水平，构建多种交通方式充分衔接的综合交通网络，加快铁路专用线建设，</w:t>
      </w:r>
      <w:r>
        <w:rPr>
          <w:rFonts w:hint="eastAsia" w:eastAsia="仿宋_GB2312"/>
          <w:kern w:val="0"/>
          <w:sz w:val="32"/>
          <w:szCs w:val="32"/>
        </w:rPr>
        <w:t>加强</w:t>
      </w:r>
      <w:r>
        <w:rPr>
          <w:rFonts w:eastAsia="仿宋_GB2312"/>
          <w:kern w:val="0"/>
          <w:sz w:val="32"/>
          <w:szCs w:val="32"/>
        </w:rPr>
        <w:t>工矿企业、物流集中区铁路专用线</w:t>
      </w:r>
      <w:r>
        <w:rPr>
          <w:rFonts w:hint="eastAsia" w:eastAsia="仿宋_GB2312"/>
          <w:kern w:val="0"/>
          <w:sz w:val="32"/>
          <w:szCs w:val="32"/>
        </w:rPr>
        <w:t>精准配置</w:t>
      </w:r>
      <w:r>
        <w:rPr>
          <w:rFonts w:eastAsia="仿宋_GB2312"/>
          <w:kern w:val="0"/>
          <w:sz w:val="32"/>
          <w:szCs w:val="32"/>
        </w:rPr>
        <w:t>，提升</w:t>
      </w:r>
      <w:r>
        <w:rPr>
          <w:rFonts w:hint="eastAsia" w:eastAsia="仿宋_GB2312"/>
          <w:kern w:val="0"/>
          <w:sz w:val="32"/>
          <w:szCs w:val="32"/>
        </w:rPr>
        <w:t>“</w:t>
      </w:r>
      <w:r>
        <w:rPr>
          <w:rFonts w:eastAsia="仿宋_GB2312"/>
          <w:kern w:val="0"/>
          <w:sz w:val="32"/>
          <w:szCs w:val="32"/>
        </w:rPr>
        <w:t>门到门</w:t>
      </w:r>
      <w:r>
        <w:rPr>
          <w:rFonts w:hint="eastAsia" w:eastAsia="仿宋_GB2312"/>
          <w:kern w:val="0"/>
          <w:sz w:val="32"/>
          <w:szCs w:val="32"/>
        </w:rPr>
        <w:t>”</w:t>
      </w:r>
      <w:r>
        <w:rPr>
          <w:rFonts w:eastAsia="仿宋_GB2312"/>
          <w:kern w:val="0"/>
          <w:sz w:val="32"/>
          <w:szCs w:val="32"/>
        </w:rPr>
        <w:t>服务质量。推动基础设施</w:t>
      </w:r>
      <w:r>
        <w:rPr>
          <w:rFonts w:hint="eastAsia" w:eastAsia="仿宋_GB2312"/>
          <w:kern w:val="0"/>
          <w:sz w:val="32"/>
          <w:szCs w:val="32"/>
        </w:rPr>
        <w:t>建设，</w:t>
      </w:r>
      <w:r>
        <w:rPr>
          <w:rFonts w:eastAsia="仿宋_GB2312"/>
          <w:kern w:val="0"/>
          <w:sz w:val="32"/>
          <w:szCs w:val="32"/>
        </w:rPr>
        <w:t>贯彻国防</w:t>
      </w:r>
      <w:r>
        <w:rPr>
          <w:rFonts w:hint="eastAsia" w:eastAsia="仿宋_GB2312"/>
          <w:kern w:val="0"/>
          <w:sz w:val="32"/>
          <w:szCs w:val="32"/>
        </w:rPr>
        <w:t>现代化</w:t>
      </w:r>
      <w:r>
        <w:rPr>
          <w:rFonts w:eastAsia="仿宋_GB2312"/>
          <w:kern w:val="0"/>
          <w:sz w:val="32"/>
          <w:szCs w:val="32"/>
        </w:rPr>
        <w:t>要求，保障民用机场、铁路等大型交通设施和大型物流枢纽基地等落实军民融合的空间</w:t>
      </w:r>
      <w:r>
        <w:rPr>
          <w:rFonts w:hint="eastAsia" w:eastAsia="仿宋_GB2312"/>
          <w:kern w:val="0"/>
          <w:sz w:val="32"/>
          <w:szCs w:val="32"/>
        </w:rPr>
        <w:t>用地</w:t>
      </w:r>
      <w:r>
        <w:rPr>
          <w:rFonts w:eastAsia="仿宋_GB2312"/>
          <w:kern w:val="0"/>
          <w:sz w:val="32"/>
          <w:szCs w:val="32"/>
        </w:rPr>
        <w:t>需求。</w:t>
      </w:r>
    </w:p>
    <w:p w14:paraId="220D6C10">
      <w:pPr>
        <w:spacing w:line="600" w:lineRule="exact"/>
        <w:ind w:firstLine="640" w:firstLineChars="200"/>
        <w:rPr>
          <w:rFonts w:eastAsia="仿宋_GB2312"/>
          <w:kern w:val="0"/>
          <w:sz w:val="32"/>
          <w:szCs w:val="32"/>
        </w:rPr>
      </w:pPr>
      <w:r>
        <w:rPr>
          <w:rFonts w:eastAsia="仿宋_GB2312"/>
          <w:kern w:val="0"/>
          <w:sz w:val="32"/>
          <w:szCs w:val="32"/>
        </w:rPr>
        <w:t>保障铁路和城市轨道交通建设。加快</w:t>
      </w:r>
      <w:r>
        <w:rPr>
          <w:rFonts w:hint="eastAsia" w:eastAsia="仿宋_GB2312"/>
          <w:kern w:val="0"/>
          <w:sz w:val="32"/>
          <w:szCs w:val="32"/>
        </w:rPr>
        <w:t>联通区外</w:t>
      </w:r>
      <w:r>
        <w:rPr>
          <w:rFonts w:eastAsia="仿宋_GB2312"/>
          <w:kern w:val="0"/>
          <w:sz w:val="32"/>
          <w:szCs w:val="32"/>
        </w:rPr>
        <w:t>快速通道建设，推动各盟市就近融入国家高速铁路网，构建</w:t>
      </w:r>
      <w:r>
        <w:rPr>
          <w:rFonts w:hint="eastAsia" w:eastAsia="仿宋_GB2312"/>
          <w:kern w:val="0"/>
          <w:sz w:val="32"/>
          <w:szCs w:val="32"/>
        </w:rPr>
        <w:t>内蒙古</w:t>
      </w:r>
      <w:r>
        <w:rPr>
          <w:rFonts w:eastAsia="仿宋_GB2312"/>
          <w:kern w:val="0"/>
          <w:sz w:val="32"/>
          <w:szCs w:val="32"/>
        </w:rPr>
        <w:t>自治区内外</w:t>
      </w:r>
      <w:r>
        <w:rPr>
          <w:rFonts w:hint="eastAsia" w:eastAsia="仿宋_GB2312"/>
          <w:kern w:val="0"/>
          <w:sz w:val="32"/>
          <w:szCs w:val="32"/>
        </w:rPr>
        <w:t>贯通的</w:t>
      </w:r>
      <w:r>
        <w:rPr>
          <w:rFonts w:eastAsia="仿宋_GB2312"/>
          <w:kern w:val="0"/>
          <w:sz w:val="32"/>
          <w:szCs w:val="32"/>
        </w:rPr>
        <w:t>快速通道，完善呼包鄂乌一体化发展区域城际铁路网，提升干线路网质量，完善集疏运输体系，推进口岸铁路建设，打造旅游铁路品牌，推进城市轨道交通建设。</w:t>
      </w:r>
    </w:p>
    <w:p w14:paraId="2368BEFB">
      <w:pPr>
        <w:spacing w:line="600" w:lineRule="exact"/>
        <w:ind w:firstLine="640" w:firstLineChars="200"/>
        <w:rPr>
          <w:rFonts w:eastAsia="仿宋_GB2312"/>
          <w:kern w:val="0"/>
          <w:sz w:val="32"/>
          <w:szCs w:val="32"/>
        </w:rPr>
      </w:pPr>
      <w:r>
        <w:rPr>
          <w:rFonts w:eastAsia="仿宋_GB2312"/>
          <w:kern w:val="0"/>
          <w:sz w:val="32"/>
          <w:szCs w:val="32"/>
        </w:rPr>
        <w:t>推动提升公路通达性。加快高速公路网主骨架建设，以国省干线、高速公路连接线、出区通道、旅游公路、交通枢纽及城镇连接线、沿黄线等提级改造为重点，推进高效便捷的公路骨干路网建设，加强与城市道路、农村公路的快速衔接，推动串联乡村主要产业和资源节点的农村公路建设，支持普惠便捷的农村公路建设，提升路网整体承载力。</w:t>
      </w:r>
    </w:p>
    <w:p w14:paraId="2D90EB6E">
      <w:pPr>
        <w:spacing w:line="600" w:lineRule="exact"/>
        <w:ind w:firstLine="640" w:firstLineChars="200"/>
        <w:rPr>
          <w:rFonts w:eastAsia="仿宋_GB2312"/>
          <w:kern w:val="0"/>
          <w:sz w:val="32"/>
          <w:szCs w:val="32"/>
        </w:rPr>
      </w:pPr>
      <w:r>
        <w:rPr>
          <w:rFonts w:eastAsia="仿宋_GB2312"/>
          <w:kern w:val="0"/>
          <w:sz w:val="32"/>
          <w:szCs w:val="32"/>
        </w:rPr>
        <w:t>推进航空运输体系建设。加快呼和浩特新机场建设，推进包头</w:t>
      </w:r>
      <w:r>
        <w:rPr>
          <w:rFonts w:hint="eastAsia" w:eastAsia="仿宋_GB2312"/>
          <w:kern w:val="0"/>
          <w:sz w:val="32"/>
          <w:szCs w:val="32"/>
        </w:rPr>
        <w:t>市</w:t>
      </w:r>
      <w:r>
        <w:rPr>
          <w:rFonts w:eastAsia="仿宋_GB2312"/>
          <w:kern w:val="0"/>
          <w:sz w:val="32"/>
          <w:szCs w:val="32"/>
        </w:rPr>
        <w:t>、巴彦淖尔</w:t>
      </w:r>
      <w:r>
        <w:rPr>
          <w:rFonts w:hint="eastAsia" w:eastAsia="仿宋_GB2312"/>
          <w:kern w:val="0"/>
          <w:sz w:val="32"/>
          <w:szCs w:val="32"/>
        </w:rPr>
        <w:t>市</w:t>
      </w:r>
      <w:r>
        <w:rPr>
          <w:rFonts w:eastAsia="仿宋_GB2312"/>
          <w:kern w:val="0"/>
          <w:sz w:val="32"/>
          <w:szCs w:val="32"/>
        </w:rPr>
        <w:t>、乌兰察布</w:t>
      </w:r>
      <w:r>
        <w:rPr>
          <w:rFonts w:hint="eastAsia" w:eastAsia="仿宋_GB2312"/>
          <w:kern w:val="0"/>
          <w:sz w:val="32"/>
          <w:szCs w:val="32"/>
        </w:rPr>
        <w:t>市</w:t>
      </w:r>
      <w:r>
        <w:rPr>
          <w:rFonts w:eastAsia="仿宋_GB2312"/>
          <w:kern w:val="0"/>
          <w:sz w:val="32"/>
          <w:szCs w:val="32"/>
        </w:rPr>
        <w:t>等现有机场扩建改造，加快赤峰市、鄂尔多斯市、阿拉善盟、扎兰屯</w:t>
      </w:r>
      <w:r>
        <w:rPr>
          <w:rFonts w:hint="eastAsia" w:eastAsia="仿宋_GB2312"/>
          <w:kern w:val="0"/>
          <w:sz w:val="32"/>
          <w:szCs w:val="32"/>
        </w:rPr>
        <w:t>市</w:t>
      </w:r>
      <w:r>
        <w:rPr>
          <w:rFonts w:eastAsia="仿宋_GB2312"/>
          <w:kern w:val="0"/>
          <w:sz w:val="32"/>
          <w:szCs w:val="32"/>
        </w:rPr>
        <w:t>、扎鲁特旗、巴林左旗、奈曼旗、莫力达瓦</w:t>
      </w:r>
      <w:r>
        <w:rPr>
          <w:rFonts w:hint="eastAsia" w:eastAsia="仿宋_GB2312"/>
          <w:kern w:val="0"/>
          <w:sz w:val="32"/>
          <w:szCs w:val="32"/>
        </w:rPr>
        <w:t>达斡尔族自治</w:t>
      </w:r>
      <w:r>
        <w:rPr>
          <w:rFonts w:eastAsia="仿宋_GB2312"/>
          <w:kern w:val="0"/>
          <w:sz w:val="32"/>
          <w:szCs w:val="32"/>
        </w:rPr>
        <w:t>旗、鄂托克旗、</w:t>
      </w:r>
      <w:r>
        <w:rPr>
          <w:rFonts w:hint="eastAsia" w:eastAsia="仿宋_GB2312"/>
          <w:kern w:val="0"/>
          <w:sz w:val="32"/>
          <w:szCs w:val="32"/>
        </w:rPr>
        <w:t>额尔古纳市</w:t>
      </w:r>
      <w:r>
        <w:rPr>
          <w:rFonts w:eastAsia="仿宋_GB2312"/>
          <w:kern w:val="0"/>
          <w:sz w:val="32"/>
          <w:szCs w:val="32"/>
        </w:rPr>
        <w:t>、</w:t>
      </w:r>
      <w:r>
        <w:rPr>
          <w:rFonts w:hint="eastAsia" w:eastAsia="仿宋_GB2312"/>
          <w:kern w:val="0"/>
          <w:sz w:val="32"/>
          <w:szCs w:val="32"/>
        </w:rPr>
        <w:t>苏尼特右旗</w:t>
      </w:r>
      <w:r>
        <w:rPr>
          <w:rFonts w:eastAsia="仿宋_GB2312"/>
          <w:kern w:val="0"/>
          <w:sz w:val="32"/>
          <w:szCs w:val="32"/>
        </w:rPr>
        <w:t>等重点</w:t>
      </w:r>
      <w:r>
        <w:rPr>
          <w:rFonts w:hint="eastAsia" w:eastAsia="仿宋_GB2312"/>
          <w:kern w:val="0"/>
          <w:sz w:val="32"/>
          <w:szCs w:val="32"/>
        </w:rPr>
        <w:t>地区</w:t>
      </w:r>
      <w:r>
        <w:rPr>
          <w:rFonts w:eastAsia="仿宋_GB2312"/>
          <w:kern w:val="0"/>
          <w:sz w:val="32"/>
          <w:szCs w:val="32"/>
        </w:rPr>
        <w:t>运输和通用机场建设，提升航空运输保障能力，推动构建干线机场、支线机场和通用机场协调发展的多层级航空运输体系。</w:t>
      </w:r>
    </w:p>
    <w:p w14:paraId="5BBB5AE6">
      <w:pPr>
        <w:spacing w:line="600" w:lineRule="exact"/>
        <w:ind w:firstLine="640" w:firstLineChars="200"/>
        <w:rPr>
          <w:rFonts w:eastAsia="仿宋_GB2312"/>
          <w:kern w:val="0"/>
          <w:sz w:val="32"/>
          <w:szCs w:val="32"/>
        </w:rPr>
      </w:pPr>
      <w:r>
        <w:rPr>
          <w:rFonts w:eastAsia="楷体_GB2312"/>
          <w:bCs/>
          <w:kern w:val="0"/>
          <w:sz w:val="32"/>
          <w:szCs w:val="32"/>
        </w:rPr>
        <w:t>支持互联互通的综合运输枢纽建设。</w:t>
      </w:r>
      <w:r>
        <w:rPr>
          <w:rFonts w:eastAsia="仿宋_GB2312"/>
          <w:kern w:val="0"/>
          <w:sz w:val="32"/>
          <w:szCs w:val="32"/>
        </w:rPr>
        <w:t>建设呼和浩特、包头、通辽全国性综合交通枢纽城市</w:t>
      </w:r>
      <w:r>
        <w:rPr>
          <w:rFonts w:hint="eastAsia" w:eastAsia="仿宋_GB2312"/>
          <w:kern w:val="0"/>
          <w:sz w:val="32"/>
          <w:szCs w:val="32"/>
        </w:rPr>
        <w:t>，</w:t>
      </w:r>
      <w:r>
        <w:rPr>
          <w:rFonts w:eastAsia="仿宋_GB2312"/>
          <w:kern w:val="0"/>
          <w:sz w:val="32"/>
          <w:szCs w:val="32"/>
        </w:rPr>
        <w:t>满洲里、二连浩特国际口岸性综合交通枢纽城市</w:t>
      </w:r>
      <w:r>
        <w:rPr>
          <w:rFonts w:hint="eastAsia" w:eastAsia="仿宋_GB2312"/>
          <w:kern w:val="0"/>
          <w:sz w:val="32"/>
          <w:szCs w:val="32"/>
        </w:rPr>
        <w:t>，</w:t>
      </w:r>
      <w:r>
        <w:rPr>
          <w:rFonts w:eastAsia="仿宋_GB2312"/>
          <w:kern w:val="0"/>
          <w:sz w:val="32"/>
          <w:szCs w:val="32"/>
        </w:rPr>
        <w:t>呼伦贝尔、赤峰、乌兰浩特、锡林浩特、乌兰察布、鄂尔多斯、巴彦淖尔、乌海、阿拉善区域性综合交通枢纽中心。完善综合交通枢纽布局，推进呼和浩特、包头、鄂尔多斯、乌海、乌兰察布、通辽综合交通枢纽建设；全面保障乌兰察布</w:t>
      </w:r>
      <w:r>
        <w:rPr>
          <w:rFonts w:hint="eastAsia" w:eastAsia="仿宋_GB2312"/>
          <w:kern w:val="0"/>
          <w:sz w:val="32"/>
          <w:szCs w:val="32"/>
        </w:rPr>
        <w:t>-</w:t>
      </w:r>
      <w:r>
        <w:rPr>
          <w:rFonts w:eastAsia="仿宋_GB2312"/>
          <w:kern w:val="0"/>
          <w:sz w:val="32"/>
          <w:szCs w:val="32"/>
        </w:rPr>
        <w:t>二连浩特陆港型（陆上边境口岸型）物流枢纽、满洲里陆上边境口岸型物流枢纽、鄂尔多斯生产服务型物流枢纽等一批物流枢纽用地。</w:t>
      </w:r>
    </w:p>
    <w:p w14:paraId="08053EFF">
      <w:pPr>
        <w:spacing w:line="600" w:lineRule="exact"/>
        <w:ind w:firstLine="640" w:firstLineChars="200"/>
        <w:rPr>
          <w:rFonts w:eastAsia="仿宋_GB2312"/>
          <w:kern w:val="0"/>
          <w:sz w:val="32"/>
          <w:szCs w:val="32"/>
        </w:rPr>
      </w:pPr>
      <w:r>
        <w:rPr>
          <w:rFonts w:eastAsia="楷体_GB2312"/>
          <w:bCs/>
          <w:kern w:val="0"/>
          <w:sz w:val="32"/>
          <w:szCs w:val="32"/>
        </w:rPr>
        <w:t>合理安排交通基础设施用地。</w:t>
      </w:r>
      <w:r>
        <w:rPr>
          <w:rFonts w:eastAsia="仿宋_GB2312"/>
          <w:kern w:val="0"/>
          <w:sz w:val="32"/>
          <w:szCs w:val="32"/>
        </w:rPr>
        <w:t>统筹铁路、公路等交通基础设施与其他基础设施的空间整合，提高通道的复合利用程度。强化推进综合交通枢纽一体化建设空间保障，加强轨道交通场站、交通枢纽、公共停车场与城市功能的融合和空间的综合利用，充分挖掘现有综合交通网络运输能力，提升交通设施增量供给质量。选线选址严格保护重要生态空间和历史文化地区，尽量避让耕地和永久基本农田保护红线、生态保护红线、灾害风险地区，与电力高压走廊、油气管网等做好共线规划，降低交通线网建设对生态环境和国土空间分割的影响。建设绿色交通廊道，</w:t>
      </w:r>
      <w:r>
        <w:rPr>
          <w:rFonts w:eastAsia="仿宋_GB2312"/>
          <w:sz w:val="32"/>
          <w:szCs w:val="32"/>
        </w:rPr>
        <w:t>到2030年，城区常住人口100万以上的城市绿色出行比例不低于70%</w:t>
      </w:r>
      <w:r>
        <w:rPr>
          <w:rFonts w:hint="eastAsia" w:eastAsia="仿宋_GB2312"/>
          <w:sz w:val="32"/>
          <w:szCs w:val="32"/>
        </w:rPr>
        <w:t>。</w:t>
      </w:r>
    </w:p>
    <w:p w14:paraId="578BE3DF">
      <w:pPr>
        <w:pStyle w:val="3"/>
        <w:spacing w:before="156" w:beforeLines="50" w:after="156" w:afterLines="50" w:line="600" w:lineRule="exact"/>
        <w:rPr>
          <w:rFonts w:ascii="Times New Roman" w:hAnsi="Times New Roman"/>
          <w:b w:val="0"/>
          <w:bCs w:val="0"/>
        </w:rPr>
      </w:pPr>
      <w:bookmarkStart w:id="299" w:name="_Toc43113698"/>
      <w:bookmarkStart w:id="300" w:name="_Toc58510804"/>
      <w:bookmarkStart w:id="301" w:name="_Toc41137921"/>
      <w:bookmarkStart w:id="302" w:name="_Toc160715671"/>
      <w:bookmarkStart w:id="303" w:name="_Toc155861093"/>
      <w:r>
        <w:rPr>
          <w:rFonts w:ascii="Times New Roman" w:hAnsi="Times New Roman"/>
          <w:b w:val="0"/>
          <w:bCs w:val="0"/>
        </w:rPr>
        <w:t>第二节 强化水利设施</w:t>
      </w:r>
      <w:bookmarkEnd w:id="299"/>
      <w:bookmarkEnd w:id="300"/>
      <w:bookmarkEnd w:id="301"/>
      <w:r>
        <w:rPr>
          <w:rFonts w:ascii="Times New Roman" w:hAnsi="Times New Roman"/>
          <w:b w:val="0"/>
          <w:bCs w:val="0"/>
        </w:rPr>
        <w:t>用地保障</w:t>
      </w:r>
      <w:bookmarkEnd w:id="302"/>
      <w:bookmarkEnd w:id="303"/>
    </w:p>
    <w:p w14:paraId="3E9F7ECB">
      <w:pPr>
        <w:spacing w:line="600" w:lineRule="exact"/>
        <w:ind w:firstLine="640" w:firstLineChars="200"/>
        <w:rPr>
          <w:rFonts w:eastAsia="仿宋_GB2312"/>
          <w:kern w:val="0"/>
          <w:sz w:val="32"/>
          <w:szCs w:val="32"/>
        </w:rPr>
      </w:pPr>
      <w:r>
        <w:rPr>
          <w:rFonts w:eastAsia="楷体_GB2312"/>
          <w:bCs/>
          <w:kern w:val="0"/>
          <w:sz w:val="32"/>
          <w:szCs w:val="32"/>
        </w:rPr>
        <w:t>推进引调水和水源工程建设。</w:t>
      </w:r>
      <w:r>
        <w:rPr>
          <w:rFonts w:eastAsia="仿宋_GB2312"/>
          <w:kern w:val="0"/>
          <w:sz w:val="32"/>
          <w:szCs w:val="32"/>
        </w:rPr>
        <w:t>加强相关引水、提水、输水、排水配套工程空间保障，完善水网建设</w:t>
      </w:r>
      <w:r>
        <w:rPr>
          <w:rFonts w:eastAsia="仿宋_GB2312"/>
          <w:sz w:val="32"/>
          <w:szCs w:val="32"/>
        </w:rPr>
        <w:t>，</w:t>
      </w:r>
      <w:r>
        <w:rPr>
          <w:rFonts w:eastAsia="仿宋_GB2312"/>
          <w:kern w:val="0"/>
          <w:sz w:val="32"/>
          <w:szCs w:val="32"/>
        </w:rPr>
        <w:t>推动建成引绰济辽工程，深化引嫩济锡工程前期论证工作，提升向辽河流域、内陆河调供水能力，保障乌梁素海生态修复补水、岱海生态应急补水、引黄入呼三期扩建工程用地，有序建设东台子、琥珀沟水库等一批水源工程，加强水资源战略储备空间保障，开展农村牧区供水规模化建设及小型工程规范化改造，提高水源保障能力和管理服务水平。</w:t>
      </w:r>
    </w:p>
    <w:p w14:paraId="4179B709">
      <w:pPr>
        <w:spacing w:line="600" w:lineRule="exact"/>
        <w:ind w:firstLine="640" w:firstLineChars="200"/>
        <w:rPr>
          <w:rFonts w:eastAsia="仿宋_GB2312"/>
          <w:kern w:val="0"/>
          <w:sz w:val="32"/>
          <w:szCs w:val="32"/>
        </w:rPr>
      </w:pPr>
      <w:r>
        <w:rPr>
          <w:rFonts w:eastAsia="楷体_GB2312"/>
          <w:bCs/>
          <w:kern w:val="0"/>
          <w:sz w:val="32"/>
          <w:szCs w:val="32"/>
        </w:rPr>
        <w:t>加大农业节水灌溉工程建设。</w:t>
      </w:r>
      <w:r>
        <w:rPr>
          <w:rFonts w:eastAsia="仿宋_GB2312"/>
          <w:kern w:val="0"/>
          <w:sz w:val="32"/>
          <w:szCs w:val="32"/>
        </w:rPr>
        <w:t>大力推</w:t>
      </w:r>
      <w:r>
        <w:rPr>
          <w:rFonts w:hint="eastAsia" w:eastAsia="仿宋_GB2312"/>
          <w:kern w:val="0"/>
          <w:sz w:val="32"/>
          <w:szCs w:val="32"/>
        </w:rPr>
        <w:t>广</w:t>
      </w:r>
      <w:r>
        <w:rPr>
          <w:rFonts w:eastAsia="仿宋_GB2312"/>
          <w:kern w:val="0"/>
          <w:sz w:val="32"/>
          <w:szCs w:val="32"/>
        </w:rPr>
        <w:t>高效节水农业，减少农田灌溉用水量，缓解农业对水资源的过度</w:t>
      </w:r>
      <w:r>
        <w:rPr>
          <w:rFonts w:hint="eastAsia" w:eastAsia="仿宋_GB2312"/>
          <w:kern w:val="0"/>
          <w:sz w:val="32"/>
          <w:szCs w:val="32"/>
        </w:rPr>
        <w:t>利用</w:t>
      </w:r>
      <w:r>
        <w:rPr>
          <w:rFonts w:eastAsia="仿宋_GB2312"/>
          <w:kern w:val="0"/>
          <w:sz w:val="32"/>
          <w:szCs w:val="32"/>
        </w:rPr>
        <w:t>。东部产粮区推广以浅埋滴灌为主的高效节水技术，控制农田灌溉超采地下水，做到采补平衡</w:t>
      </w:r>
      <w:r>
        <w:rPr>
          <w:rFonts w:hint="eastAsia" w:eastAsia="仿宋_GB2312"/>
          <w:kern w:val="0"/>
          <w:sz w:val="32"/>
          <w:szCs w:val="32"/>
        </w:rPr>
        <w:t>。</w:t>
      </w:r>
      <w:r>
        <w:rPr>
          <w:rFonts w:eastAsia="仿宋_GB2312"/>
          <w:kern w:val="0"/>
          <w:sz w:val="32"/>
          <w:szCs w:val="32"/>
        </w:rPr>
        <w:t>西部黄灌区开展节水工程建设，同步实施水田林电路渠技</w:t>
      </w:r>
      <w:r>
        <w:rPr>
          <w:rFonts w:hint="eastAsia" w:eastAsia="仿宋_GB2312"/>
          <w:kern w:val="0"/>
          <w:sz w:val="32"/>
          <w:szCs w:val="32"/>
        </w:rPr>
        <w:t>“</w:t>
      </w:r>
      <w:r>
        <w:rPr>
          <w:rFonts w:eastAsia="仿宋_GB2312"/>
          <w:kern w:val="0"/>
          <w:sz w:val="32"/>
          <w:szCs w:val="32"/>
        </w:rPr>
        <w:t>七配套</w:t>
      </w:r>
      <w:r>
        <w:rPr>
          <w:rFonts w:hint="eastAsia" w:eastAsia="仿宋_GB2312"/>
          <w:kern w:val="0"/>
          <w:sz w:val="32"/>
          <w:szCs w:val="32"/>
        </w:rPr>
        <w:t>”</w:t>
      </w:r>
      <w:r>
        <w:rPr>
          <w:rFonts w:eastAsia="仿宋_GB2312"/>
          <w:kern w:val="0"/>
          <w:sz w:val="32"/>
          <w:szCs w:val="32"/>
        </w:rPr>
        <w:t>工程，提高地表水利用效率。</w:t>
      </w:r>
    </w:p>
    <w:p w14:paraId="2DA8AD4A">
      <w:pPr>
        <w:spacing w:line="600" w:lineRule="exact"/>
        <w:ind w:firstLine="640" w:firstLineChars="200"/>
        <w:rPr>
          <w:rFonts w:eastAsia="仿宋_GB2312"/>
          <w:kern w:val="0"/>
          <w:sz w:val="32"/>
          <w:szCs w:val="32"/>
        </w:rPr>
      </w:pPr>
      <w:r>
        <w:rPr>
          <w:rFonts w:eastAsia="楷体_GB2312"/>
          <w:bCs/>
          <w:kern w:val="0"/>
          <w:sz w:val="32"/>
          <w:szCs w:val="32"/>
        </w:rPr>
        <w:t>加强防洪抗旱减灾工程建设。</w:t>
      </w:r>
      <w:r>
        <w:rPr>
          <w:rFonts w:eastAsia="仿宋_GB2312"/>
          <w:kern w:val="0"/>
          <w:sz w:val="32"/>
          <w:szCs w:val="32"/>
        </w:rPr>
        <w:t>健全以流域为单元的防洪减灾体系，推进黄河、西辽河、嫩江堤防及河道整治，完善重要支流、中小河流防洪减灾和山洪灾害综合防治体系，加快山洪沟治理工程、病险水库水闸除险加固工程建设，提升防洪排涝能力。推进黄河防凌减灾和蓄滞洪区建设。建立健全主要河流、湖泊和水利工程的安全监测预警设施，加快旱情监测预警体系和抗旱水源工程建设。</w:t>
      </w:r>
    </w:p>
    <w:p w14:paraId="00EB57E4">
      <w:pPr>
        <w:spacing w:line="600" w:lineRule="exact"/>
        <w:ind w:firstLine="640" w:firstLineChars="200"/>
        <w:rPr>
          <w:rFonts w:eastAsia="仿宋_GB2312"/>
          <w:kern w:val="0"/>
          <w:sz w:val="32"/>
          <w:szCs w:val="32"/>
        </w:rPr>
      </w:pPr>
      <w:r>
        <w:rPr>
          <w:rFonts w:eastAsia="楷体_GB2312"/>
          <w:bCs/>
          <w:kern w:val="0"/>
          <w:sz w:val="32"/>
          <w:szCs w:val="32"/>
        </w:rPr>
        <w:t>促进水利工程生态化。</w:t>
      </w:r>
      <w:r>
        <w:rPr>
          <w:rFonts w:eastAsia="仿宋_GB2312"/>
          <w:kern w:val="0"/>
          <w:sz w:val="32"/>
          <w:szCs w:val="32"/>
        </w:rPr>
        <w:t>按照</w:t>
      </w:r>
      <w:r>
        <w:rPr>
          <w:rFonts w:hint="eastAsia" w:eastAsia="仿宋_GB2312"/>
          <w:kern w:val="0"/>
          <w:sz w:val="32"/>
          <w:szCs w:val="32"/>
        </w:rPr>
        <w:t>“</w:t>
      </w:r>
      <w:r>
        <w:rPr>
          <w:rFonts w:eastAsia="仿宋_GB2312"/>
          <w:kern w:val="0"/>
          <w:sz w:val="32"/>
          <w:szCs w:val="32"/>
        </w:rPr>
        <w:t>确有需要、生态安全、可以持续</w:t>
      </w:r>
      <w:r>
        <w:rPr>
          <w:rFonts w:hint="eastAsia" w:eastAsia="仿宋_GB2312"/>
          <w:kern w:val="0"/>
          <w:sz w:val="32"/>
          <w:szCs w:val="32"/>
        </w:rPr>
        <w:t>”</w:t>
      </w:r>
      <w:r>
        <w:rPr>
          <w:rFonts w:eastAsia="仿宋_GB2312"/>
          <w:kern w:val="0"/>
          <w:sz w:val="32"/>
          <w:szCs w:val="32"/>
        </w:rPr>
        <w:t>的原则开展前期工作，</w:t>
      </w:r>
      <w:r>
        <w:rPr>
          <w:rFonts w:hint="eastAsia" w:eastAsia="仿宋_GB2312"/>
          <w:kern w:val="0"/>
          <w:sz w:val="32"/>
          <w:szCs w:val="32"/>
        </w:rPr>
        <w:t>明确</w:t>
      </w:r>
      <w:r>
        <w:rPr>
          <w:rFonts w:eastAsia="仿宋_GB2312"/>
          <w:kern w:val="0"/>
          <w:sz w:val="32"/>
          <w:szCs w:val="32"/>
        </w:rPr>
        <w:t>项目建设方案、规模和建设</w:t>
      </w:r>
      <w:r>
        <w:rPr>
          <w:rFonts w:hint="eastAsia" w:eastAsia="仿宋_GB2312"/>
          <w:kern w:val="0"/>
          <w:sz w:val="32"/>
          <w:szCs w:val="32"/>
        </w:rPr>
        <w:t>时序</w:t>
      </w:r>
      <w:r>
        <w:rPr>
          <w:rFonts w:eastAsia="仿宋_GB2312"/>
          <w:kern w:val="0"/>
          <w:sz w:val="32"/>
          <w:szCs w:val="32"/>
        </w:rPr>
        <w:t>，优化水利工程布局，</w:t>
      </w:r>
      <w:r>
        <w:rPr>
          <w:rFonts w:hint="eastAsia" w:eastAsia="仿宋_GB2312"/>
          <w:kern w:val="0"/>
          <w:sz w:val="32"/>
          <w:szCs w:val="32"/>
        </w:rPr>
        <w:t>降低</w:t>
      </w:r>
      <w:r>
        <w:rPr>
          <w:rFonts w:eastAsia="仿宋_GB2312"/>
          <w:kern w:val="0"/>
          <w:sz w:val="32"/>
          <w:szCs w:val="32"/>
        </w:rPr>
        <w:t>对河流水文情势、水环境质量、水系连通性、重要生态环境的影响。有序推进已建水利工程生态化改造，将防洪工程与城市景观、生态廊道保护相结合。</w:t>
      </w:r>
      <w:r>
        <w:rPr>
          <w:rFonts w:hint="eastAsia" w:eastAsia="仿宋_GB2312"/>
          <w:kern w:val="0"/>
          <w:sz w:val="32"/>
          <w:szCs w:val="32"/>
        </w:rPr>
        <w:t>统筹</w:t>
      </w:r>
      <w:r>
        <w:rPr>
          <w:rFonts w:eastAsia="仿宋_GB2312"/>
          <w:kern w:val="0"/>
          <w:sz w:val="32"/>
          <w:szCs w:val="32"/>
        </w:rPr>
        <w:t>输水廊道</w:t>
      </w:r>
      <w:r>
        <w:rPr>
          <w:rFonts w:hint="eastAsia" w:eastAsia="仿宋_GB2312"/>
          <w:kern w:val="0"/>
          <w:sz w:val="32"/>
          <w:szCs w:val="32"/>
        </w:rPr>
        <w:t>空间</w:t>
      </w:r>
      <w:r>
        <w:rPr>
          <w:rFonts w:eastAsia="仿宋_GB2312"/>
          <w:kern w:val="0"/>
          <w:sz w:val="32"/>
          <w:szCs w:val="32"/>
        </w:rPr>
        <w:t>布局，加强与农田水利设施、交通干线统筹利用和协调共享。在重要水源涵养区、水生生物栖息地和洄游通道、陆地野生动物重要栖息地和生态廊道等区域严格</w:t>
      </w:r>
      <w:r>
        <w:rPr>
          <w:rFonts w:hint="eastAsia" w:eastAsia="仿宋_GB2312"/>
          <w:kern w:val="0"/>
          <w:sz w:val="32"/>
          <w:szCs w:val="32"/>
        </w:rPr>
        <w:t>控</w:t>
      </w:r>
      <w:r>
        <w:rPr>
          <w:rFonts w:eastAsia="仿宋_GB2312"/>
          <w:kern w:val="0"/>
          <w:sz w:val="32"/>
          <w:szCs w:val="32"/>
        </w:rPr>
        <w:t>制新建水利工程。</w:t>
      </w:r>
    </w:p>
    <w:p w14:paraId="7590CB72">
      <w:pPr>
        <w:pStyle w:val="3"/>
        <w:spacing w:before="156" w:beforeLines="50" w:after="156" w:afterLines="50" w:line="600" w:lineRule="exact"/>
        <w:rPr>
          <w:rFonts w:ascii="Times New Roman" w:hAnsi="Times New Roman"/>
          <w:b w:val="0"/>
          <w:bCs w:val="0"/>
        </w:rPr>
      </w:pPr>
      <w:bookmarkStart w:id="304" w:name="_Toc160715672"/>
      <w:bookmarkStart w:id="305" w:name="_Toc155861094"/>
      <w:r>
        <w:rPr>
          <w:rFonts w:ascii="Times New Roman" w:hAnsi="Times New Roman"/>
          <w:b w:val="0"/>
          <w:bCs w:val="0"/>
        </w:rPr>
        <w:t>第三节 加强能源综合保障能力</w:t>
      </w:r>
      <w:bookmarkEnd w:id="304"/>
      <w:bookmarkEnd w:id="305"/>
    </w:p>
    <w:p w14:paraId="0AAC2EBC">
      <w:pPr>
        <w:spacing w:line="600" w:lineRule="exact"/>
        <w:ind w:firstLine="640" w:firstLineChars="200"/>
        <w:rPr>
          <w:rFonts w:eastAsia="仿宋_GB2312"/>
          <w:kern w:val="0"/>
          <w:sz w:val="32"/>
          <w:szCs w:val="32"/>
        </w:rPr>
      </w:pPr>
      <w:r>
        <w:rPr>
          <w:rFonts w:eastAsia="楷体_GB2312"/>
          <w:bCs/>
          <w:kern w:val="0"/>
          <w:sz w:val="32"/>
          <w:szCs w:val="32"/>
        </w:rPr>
        <w:t>构建清洁低碳的能源资源体系。</w:t>
      </w:r>
      <w:r>
        <w:rPr>
          <w:rFonts w:eastAsia="仿宋_GB2312"/>
          <w:kern w:val="0"/>
          <w:sz w:val="32"/>
          <w:szCs w:val="32"/>
        </w:rPr>
        <w:t>根据水资源和生态环境承载能力，有序有效开发能源资源，加快建设现代能源经济示范区</w:t>
      </w:r>
      <w:r>
        <w:rPr>
          <w:rFonts w:hint="eastAsia" w:eastAsia="仿宋_GB2312"/>
          <w:kern w:val="0"/>
          <w:sz w:val="32"/>
          <w:szCs w:val="32"/>
        </w:rPr>
        <w:t>和</w:t>
      </w:r>
      <w:r>
        <w:rPr>
          <w:rFonts w:eastAsia="仿宋_GB2312"/>
          <w:kern w:val="0"/>
          <w:sz w:val="32"/>
          <w:szCs w:val="32"/>
        </w:rPr>
        <w:t>鄂尔多斯粉煤灰提取氧化铝综合利用基地</w:t>
      </w:r>
      <w:r>
        <w:rPr>
          <w:rFonts w:hint="eastAsia" w:eastAsia="仿宋_GB2312"/>
          <w:kern w:val="0"/>
          <w:sz w:val="32"/>
          <w:szCs w:val="32"/>
        </w:rPr>
        <w:t>，</w:t>
      </w:r>
      <w:r>
        <w:rPr>
          <w:rFonts w:eastAsia="仿宋_GB2312"/>
          <w:kern w:val="0"/>
          <w:sz w:val="32"/>
          <w:szCs w:val="32"/>
        </w:rPr>
        <w:t>推动形成多种能源协同互补、综合利用、集约高效的能源供给</w:t>
      </w:r>
      <w:r>
        <w:rPr>
          <w:rFonts w:hint="eastAsia" w:eastAsia="仿宋_GB2312"/>
          <w:kern w:val="0"/>
          <w:sz w:val="32"/>
          <w:szCs w:val="32"/>
        </w:rPr>
        <w:t>结构</w:t>
      </w:r>
      <w:r>
        <w:rPr>
          <w:rFonts w:eastAsia="仿宋_GB2312"/>
          <w:kern w:val="0"/>
          <w:sz w:val="32"/>
          <w:szCs w:val="32"/>
        </w:rPr>
        <w:t>，构建绿色、友好、智慧、创新现代能源生态圈。推动能源清洁低碳安全高效利用和一体化开发利用，提升能源全产业链水平，推进能源和战略资源基地优化升级，打造风电、光伏、氢能、储能四大新能源产业集群，实行能源供给总量与强度双控。到2035年，</w:t>
      </w:r>
      <w:r>
        <w:rPr>
          <w:rFonts w:hint="eastAsia" w:eastAsia="仿宋_GB2312"/>
          <w:kern w:val="0"/>
          <w:sz w:val="32"/>
          <w:szCs w:val="32"/>
        </w:rPr>
        <w:t>内蒙古自治区</w:t>
      </w:r>
      <w:r>
        <w:rPr>
          <w:rFonts w:eastAsia="仿宋_GB2312"/>
          <w:kern w:val="0"/>
          <w:sz w:val="32"/>
          <w:szCs w:val="32"/>
        </w:rPr>
        <w:t>能源消费总量符合国家规定要求。</w:t>
      </w:r>
    </w:p>
    <w:p w14:paraId="783847F5">
      <w:pPr>
        <w:spacing w:line="600" w:lineRule="exact"/>
        <w:ind w:firstLine="640" w:firstLineChars="200"/>
        <w:rPr>
          <w:rFonts w:eastAsia="仿宋_GB2312"/>
          <w:kern w:val="0"/>
          <w:sz w:val="32"/>
          <w:szCs w:val="32"/>
        </w:rPr>
      </w:pPr>
      <w:r>
        <w:rPr>
          <w:rFonts w:eastAsia="楷体_GB2312"/>
          <w:bCs/>
          <w:kern w:val="0"/>
          <w:sz w:val="32"/>
          <w:szCs w:val="32"/>
        </w:rPr>
        <w:t>保障新能源产业集群用地。</w:t>
      </w:r>
      <w:r>
        <w:rPr>
          <w:rFonts w:eastAsia="仿宋_GB2312"/>
          <w:kern w:val="0"/>
          <w:sz w:val="32"/>
          <w:szCs w:val="32"/>
        </w:rPr>
        <w:t>推动源网荷储、风光火储、风光氢储、风光水储一体化综合应用和多能互补发展。支持新能源大规模外送和本地消纳、集中式和分布式开发并举，推进风光等可再生能源高比例发展，保障包头市、鄂尔多斯市、乌兰察布市、巴彦淖尔市、阿拉善盟等千万千瓦级新能源基地和光伏输电外送通道建设，支持发展储能和规模化风光制氢，建设绿氢生产基地，重点在沙漠、戈壁、荒漠、采煤沉陷区、露天矿排土场、油气田区、西部沿边地区预留风电</w:t>
      </w:r>
      <w:r>
        <w:rPr>
          <w:rFonts w:hint="eastAsia" w:eastAsia="仿宋_GB2312"/>
          <w:kern w:val="0"/>
          <w:sz w:val="32"/>
          <w:szCs w:val="32"/>
        </w:rPr>
        <w:t>和</w:t>
      </w:r>
      <w:r>
        <w:rPr>
          <w:rFonts w:eastAsia="仿宋_GB2312"/>
          <w:kern w:val="0"/>
          <w:sz w:val="32"/>
          <w:szCs w:val="32"/>
        </w:rPr>
        <w:t>光伏用地空间，鼓励在设施农用地、基本草原以外草地发展复合光伏。</w:t>
      </w:r>
    </w:p>
    <w:p w14:paraId="7E452CD3">
      <w:pPr>
        <w:spacing w:line="600" w:lineRule="exact"/>
        <w:ind w:firstLine="640" w:firstLineChars="200"/>
        <w:rPr>
          <w:rFonts w:eastAsia="仿宋_GB2312"/>
          <w:kern w:val="0"/>
          <w:sz w:val="32"/>
          <w:szCs w:val="32"/>
        </w:rPr>
      </w:pPr>
      <w:r>
        <w:rPr>
          <w:rFonts w:eastAsia="楷体_GB2312"/>
          <w:bCs/>
          <w:kern w:val="0"/>
          <w:sz w:val="32"/>
          <w:szCs w:val="32"/>
        </w:rPr>
        <w:t>推动传统能源转型升级。</w:t>
      </w:r>
      <w:r>
        <w:rPr>
          <w:rFonts w:eastAsia="仿宋_GB2312"/>
          <w:kern w:val="0"/>
          <w:sz w:val="32"/>
          <w:szCs w:val="32"/>
        </w:rPr>
        <w:t>合理布局新建煤矿</w:t>
      </w:r>
      <w:r>
        <w:rPr>
          <w:rFonts w:hint="eastAsia" w:eastAsia="仿宋_GB2312"/>
          <w:kern w:val="0"/>
          <w:sz w:val="32"/>
          <w:szCs w:val="32"/>
        </w:rPr>
        <w:t>，</w:t>
      </w:r>
      <w:r>
        <w:rPr>
          <w:rFonts w:eastAsia="仿宋_GB2312"/>
          <w:kern w:val="0"/>
          <w:sz w:val="32"/>
          <w:szCs w:val="32"/>
        </w:rPr>
        <w:t>严控新建煤矿准入和露天煤矿开采</w:t>
      </w:r>
      <w:r>
        <w:rPr>
          <w:rFonts w:hint="eastAsia" w:eastAsia="仿宋_GB2312"/>
          <w:kern w:val="0"/>
          <w:sz w:val="32"/>
          <w:szCs w:val="32"/>
        </w:rPr>
        <w:t>，</w:t>
      </w:r>
      <w:r>
        <w:rPr>
          <w:rFonts w:eastAsia="仿宋_GB2312"/>
          <w:kern w:val="0"/>
          <w:sz w:val="32"/>
          <w:szCs w:val="32"/>
        </w:rPr>
        <w:t>严格控制煤炭开发强度，加大煤炭综合利用程度。建设鄂尔多斯现代煤化工产业示范区，推进煤制烯烃等现代煤化工产品向终端延伸，保障现代煤化工产业集群空间用地需求。推动鄂尔多斯盆地、海拉尔盆地、二连盆地、松辽盆地西缘等重点区域油气开发利用，提高石油、天然气供应保障能力。</w:t>
      </w:r>
    </w:p>
    <w:p w14:paraId="464FC9DC">
      <w:pPr>
        <w:spacing w:line="600" w:lineRule="exact"/>
        <w:ind w:firstLine="640" w:firstLineChars="200"/>
        <w:rPr>
          <w:rFonts w:eastAsia="仿宋_GB2312"/>
          <w:kern w:val="0"/>
          <w:sz w:val="32"/>
          <w:szCs w:val="32"/>
        </w:rPr>
      </w:pPr>
      <w:r>
        <w:rPr>
          <w:rFonts w:eastAsia="楷体_GB2312"/>
          <w:bCs/>
          <w:kern w:val="0"/>
          <w:sz w:val="32"/>
          <w:szCs w:val="32"/>
        </w:rPr>
        <w:t>加快能源基础设施建设。</w:t>
      </w:r>
      <w:r>
        <w:rPr>
          <w:rFonts w:eastAsia="仿宋_GB2312"/>
          <w:kern w:val="0"/>
          <w:sz w:val="32"/>
          <w:szCs w:val="32"/>
        </w:rPr>
        <w:t>合理安排能源运输和电力输送通道建设，统筹能源、交通、水利等基础设施并线布局和通道预留。针对主要油田、气田及煤制油气产业基地，建设油气长输管道</w:t>
      </w:r>
      <w:r>
        <w:rPr>
          <w:rFonts w:hint="eastAsia" w:eastAsia="仿宋_GB2312"/>
          <w:kern w:val="0"/>
          <w:sz w:val="32"/>
          <w:szCs w:val="32"/>
        </w:rPr>
        <w:t>、乌兰察布至燕山石化输氢管道</w:t>
      </w:r>
      <w:r>
        <w:rPr>
          <w:rFonts w:eastAsia="仿宋_GB2312"/>
          <w:kern w:val="0"/>
          <w:sz w:val="32"/>
          <w:szCs w:val="32"/>
        </w:rPr>
        <w:t>，推进鄂尔多斯市</w:t>
      </w:r>
      <w:r>
        <w:rPr>
          <w:rFonts w:hint="eastAsia" w:eastAsia="仿宋_GB2312"/>
          <w:kern w:val="0"/>
          <w:sz w:val="32"/>
          <w:szCs w:val="32"/>
        </w:rPr>
        <w:t>、乌兰察布市</w:t>
      </w:r>
      <w:r>
        <w:rPr>
          <w:rFonts w:eastAsia="仿宋_GB2312"/>
          <w:kern w:val="0"/>
          <w:sz w:val="32"/>
          <w:szCs w:val="32"/>
        </w:rPr>
        <w:t>等地区新增外输主干管道建设。加强区内主网架建设，有序推进区内电网主干网架的优化升级改造，推动蒙西8个盟市</w:t>
      </w:r>
      <w:r>
        <w:rPr>
          <w:rFonts w:hint="eastAsia" w:eastAsia="仿宋_GB2312"/>
          <w:kern w:val="0"/>
          <w:sz w:val="32"/>
          <w:szCs w:val="32"/>
        </w:rPr>
        <w:t>（呼和浩特市、包头市、锡林郭勒盟、乌兰察布市、鄂尔多斯市、巴彦淖尔市、乌海市、阿拉善盟）</w:t>
      </w:r>
      <w:r>
        <w:rPr>
          <w:rFonts w:eastAsia="仿宋_GB2312"/>
          <w:kern w:val="0"/>
          <w:sz w:val="32"/>
          <w:szCs w:val="32"/>
        </w:rPr>
        <w:t>电网形成</w:t>
      </w:r>
      <w:r>
        <w:rPr>
          <w:rFonts w:hint="eastAsia" w:eastAsia="仿宋_GB2312"/>
          <w:kern w:val="0"/>
          <w:sz w:val="32"/>
          <w:szCs w:val="32"/>
        </w:rPr>
        <w:t>“</w:t>
      </w:r>
      <w:r>
        <w:rPr>
          <w:rFonts w:eastAsia="仿宋_GB2312"/>
          <w:kern w:val="0"/>
          <w:sz w:val="32"/>
          <w:szCs w:val="32"/>
        </w:rPr>
        <w:t>四横五纵</w:t>
      </w:r>
      <w:r>
        <w:rPr>
          <w:rFonts w:hint="eastAsia" w:eastAsia="仿宋_GB2312"/>
          <w:kern w:val="0"/>
          <w:sz w:val="32"/>
          <w:szCs w:val="32"/>
        </w:rPr>
        <w:t>”</w:t>
      </w:r>
      <w:r>
        <w:rPr>
          <w:rFonts w:eastAsia="仿宋_GB2312"/>
          <w:kern w:val="0"/>
          <w:sz w:val="32"/>
          <w:szCs w:val="32"/>
        </w:rPr>
        <w:t>500千伏主干网架结构，蒙东4个盟市</w:t>
      </w:r>
      <w:r>
        <w:rPr>
          <w:rFonts w:hint="eastAsia" w:eastAsia="仿宋_GB2312"/>
          <w:kern w:val="0"/>
          <w:sz w:val="32"/>
          <w:szCs w:val="32"/>
        </w:rPr>
        <w:t>（呼伦贝尔市、兴安盟、通辽市、赤峰市）</w:t>
      </w:r>
      <w:r>
        <w:rPr>
          <w:rFonts w:eastAsia="仿宋_GB2312"/>
          <w:kern w:val="0"/>
          <w:sz w:val="32"/>
          <w:szCs w:val="32"/>
        </w:rPr>
        <w:t>电网形成</w:t>
      </w:r>
      <w:r>
        <w:rPr>
          <w:rFonts w:hint="eastAsia" w:eastAsia="仿宋_GB2312"/>
          <w:kern w:val="0"/>
          <w:sz w:val="32"/>
          <w:szCs w:val="32"/>
        </w:rPr>
        <w:t>“</w:t>
      </w:r>
      <w:r>
        <w:rPr>
          <w:rFonts w:eastAsia="仿宋_GB2312"/>
          <w:kern w:val="0"/>
          <w:sz w:val="32"/>
          <w:szCs w:val="32"/>
        </w:rPr>
        <w:t>七横一纵</w:t>
      </w:r>
      <w:r>
        <w:rPr>
          <w:rFonts w:hint="eastAsia" w:eastAsia="仿宋_GB2312"/>
          <w:kern w:val="0"/>
          <w:sz w:val="32"/>
          <w:szCs w:val="32"/>
        </w:rPr>
        <w:t>”</w:t>
      </w:r>
      <w:r>
        <w:rPr>
          <w:rFonts w:eastAsia="仿宋_GB2312"/>
          <w:kern w:val="0"/>
          <w:sz w:val="32"/>
          <w:szCs w:val="32"/>
        </w:rPr>
        <w:t>500千伏主干网架结构，加快推进东北（吉林）高比例新能源基地开发外送通道建设，有效提升各电压等级电网的协调性，确保电力系统安全稳定运行和电力可靠供应。</w:t>
      </w:r>
    </w:p>
    <w:p w14:paraId="08922B1C">
      <w:pPr>
        <w:pStyle w:val="3"/>
        <w:spacing w:before="156" w:beforeLines="50" w:after="156" w:afterLines="50" w:line="600" w:lineRule="exact"/>
        <w:rPr>
          <w:rFonts w:ascii="Times New Roman" w:hAnsi="Times New Roman"/>
          <w:b w:val="0"/>
          <w:bCs w:val="0"/>
        </w:rPr>
      </w:pPr>
      <w:bookmarkStart w:id="306" w:name="_Toc60670133"/>
      <w:bookmarkStart w:id="307" w:name="_Toc160715673"/>
      <w:bookmarkStart w:id="308" w:name="_Toc155861095"/>
      <w:bookmarkStart w:id="309" w:name="_Toc63629794"/>
      <w:r>
        <w:rPr>
          <w:rFonts w:ascii="Times New Roman" w:hAnsi="Times New Roman"/>
          <w:b w:val="0"/>
          <w:bCs w:val="0"/>
        </w:rPr>
        <w:br w:type="page"/>
      </w:r>
      <w:r>
        <w:rPr>
          <w:rFonts w:ascii="Times New Roman" w:hAnsi="Times New Roman"/>
          <w:b w:val="0"/>
          <w:bCs w:val="0"/>
        </w:rPr>
        <w:t>第四节 推动信息基础设施建设</w:t>
      </w:r>
      <w:bookmarkEnd w:id="306"/>
      <w:bookmarkEnd w:id="307"/>
      <w:bookmarkEnd w:id="308"/>
      <w:bookmarkEnd w:id="309"/>
    </w:p>
    <w:p w14:paraId="2FA93320">
      <w:pPr>
        <w:spacing w:line="600" w:lineRule="exact"/>
        <w:ind w:firstLine="640" w:firstLineChars="200"/>
        <w:rPr>
          <w:rFonts w:eastAsia="仿宋_GB2312"/>
          <w:kern w:val="0"/>
          <w:sz w:val="32"/>
          <w:szCs w:val="32"/>
        </w:rPr>
      </w:pPr>
      <w:r>
        <w:rPr>
          <w:rFonts w:eastAsia="楷体_GB2312"/>
          <w:bCs/>
          <w:kern w:val="0"/>
          <w:sz w:val="32"/>
          <w:szCs w:val="32"/>
        </w:rPr>
        <w:t>保障通信基础设施建设。</w:t>
      </w:r>
      <w:r>
        <w:rPr>
          <w:rFonts w:eastAsia="仿宋_GB2312"/>
          <w:kern w:val="0"/>
          <w:sz w:val="32"/>
          <w:szCs w:val="32"/>
        </w:rPr>
        <w:t>建设智慧国土，科学布局支撑数字化发展的基础网络体系空间，加快高速、移动、安全等信息基础设施建设，保障5G、物联网、工业互联网、智慧广电等通信网络基础设施空间需求，提升农村牧区、沿边地区通信网络基础设施水平。</w:t>
      </w:r>
    </w:p>
    <w:p w14:paraId="724FCD97">
      <w:pPr>
        <w:spacing w:line="600" w:lineRule="exact"/>
        <w:ind w:firstLine="640" w:firstLineChars="200"/>
        <w:rPr>
          <w:rFonts w:eastAsia="仿宋"/>
          <w:sz w:val="32"/>
          <w:szCs w:val="32"/>
        </w:rPr>
      </w:pPr>
      <w:r>
        <w:rPr>
          <w:rFonts w:eastAsia="楷体_GB2312"/>
          <w:bCs/>
          <w:kern w:val="0"/>
          <w:sz w:val="32"/>
          <w:szCs w:val="32"/>
        </w:rPr>
        <w:t>支持新技术和算力基础设施布局。</w:t>
      </w:r>
      <w:r>
        <w:rPr>
          <w:rFonts w:eastAsia="仿宋_GB2312"/>
          <w:kern w:val="0"/>
          <w:sz w:val="32"/>
          <w:szCs w:val="32"/>
        </w:rPr>
        <w:t>保障</w:t>
      </w:r>
      <w:r>
        <w:rPr>
          <w:rFonts w:eastAsia="仿宋_GB2312"/>
          <w:sz w:val="32"/>
          <w:szCs w:val="32"/>
        </w:rPr>
        <w:t>呼包鄂乌一体化发展区域</w:t>
      </w:r>
      <w:r>
        <w:rPr>
          <w:rFonts w:eastAsia="仿宋_GB2312"/>
          <w:kern w:val="0"/>
          <w:sz w:val="32"/>
          <w:szCs w:val="32"/>
        </w:rPr>
        <w:t>、</w:t>
      </w:r>
      <w:r>
        <w:rPr>
          <w:rFonts w:hint="eastAsia" w:eastAsia="仿宋_GB2312"/>
          <w:sz w:val="32"/>
          <w:szCs w:val="32"/>
        </w:rPr>
        <w:t>赤峰市、通辽市“</w:t>
      </w:r>
      <w:r>
        <w:rPr>
          <w:rFonts w:eastAsia="仿宋_GB2312"/>
          <w:sz w:val="32"/>
          <w:szCs w:val="32"/>
        </w:rPr>
        <w:t>双子星</w:t>
      </w:r>
      <w:r>
        <w:rPr>
          <w:rFonts w:hint="eastAsia" w:eastAsia="仿宋_GB2312"/>
          <w:sz w:val="32"/>
          <w:szCs w:val="32"/>
        </w:rPr>
        <w:t>”</w:t>
      </w:r>
      <w:r>
        <w:rPr>
          <w:rFonts w:eastAsia="仿宋_GB2312"/>
          <w:sz w:val="32"/>
          <w:szCs w:val="32"/>
        </w:rPr>
        <w:t>区域中心城市</w:t>
      </w:r>
      <w:r>
        <w:rPr>
          <w:rFonts w:eastAsia="仿宋_GB2312"/>
          <w:kern w:val="0"/>
          <w:sz w:val="32"/>
          <w:szCs w:val="32"/>
        </w:rPr>
        <w:t>和科技创新平台开展大数据、云计算、智能计算等基础设施建设的空间需求。支持新型基础设施与传统基础设施融合发展，支持5G、人工智能、大数据、智慧广电等技术与交通、能源、水利、医疗、教育、城市等创新融合基础设施建设。</w:t>
      </w:r>
    </w:p>
    <w:p w14:paraId="1D6B7E8B">
      <w:pPr>
        <w:pStyle w:val="3"/>
        <w:spacing w:before="156" w:beforeLines="50" w:after="156" w:afterLines="50" w:line="600" w:lineRule="exact"/>
        <w:rPr>
          <w:rFonts w:ascii="Times New Roman" w:hAnsi="Times New Roman"/>
          <w:b w:val="0"/>
          <w:bCs w:val="0"/>
        </w:rPr>
      </w:pPr>
      <w:bookmarkStart w:id="310" w:name="_Toc60670134"/>
      <w:bookmarkStart w:id="311" w:name="_Toc58510807"/>
      <w:bookmarkStart w:id="312" w:name="_Toc57469804"/>
      <w:bookmarkStart w:id="313" w:name="_Toc155861096"/>
      <w:bookmarkStart w:id="314" w:name="_Toc160715674"/>
      <w:r>
        <w:rPr>
          <w:rFonts w:ascii="Times New Roman" w:hAnsi="Times New Roman"/>
          <w:b w:val="0"/>
          <w:bCs w:val="0"/>
        </w:rPr>
        <w:t>第五节 健全综合防灾减灾</w:t>
      </w:r>
      <w:bookmarkEnd w:id="310"/>
      <w:bookmarkEnd w:id="311"/>
      <w:bookmarkEnd w:id="312"/>
      <w:r>
        <w:rPr>
          <w:rFonts w:ascii="Times New Roman" w:hAnsi="Times New Roman"/>
          <w:b w:val="0"/>
          <w:bCs w:val="0"/>
        </w:rPr>
        <w:t>体系</w:t>
      </w:r>
      <w:bookmarkEnd w:id="313"/>
      <w:bookmarkEnd w:id="314"/>
    </w:p>
    <w:p w14:paraId="6C3DD743">
      <w:pPr>
        <w:spacing w:line="600" w:lineRule="exact"/>
        <w:ind w:firstLine="640" w:firstLineChars="200"/>
        <w:rPr>
          <w:rFonts w:eastAsia="仿宋_GB2312"/>
          <w:kern w:val="0"/>
          <w:sz w:val="32"/>
          <w:szCs w:val="32"/>
        </w:rPr>
      </w:pPr>
      <w:r>
        <w:rPr>
          <w:rFonts w:eastAsia="楷体_GB2312"/>
          <w:bCs/>
          <w:kern w:val="0"/>
          <w:sz w:val="32"/>
          <w:szCs w:val="32"/>
        </w:rPr>
        <w:t>保障生物灾害防控工程建设用地。</w:t>
      </w:r>
      <w:r>
        <w:rPr>
          <w:rFonts w:eastAsia="仿宋_GB2312"/>
          <w:kern w:val="0"/>
          <w:sz w:val="32"/>
          <w:szCs w:val="32"/>
        </w:rPr>
        <w:t>加强重大危险性生物灾害监测预报、防控和生物预防，防范外来有害生物入侵，建立灾害应急机制，开展应急物资储备和应急演练，降低生物灾害成灾率，预留灾害避难防控用地。</w:t>
      </w:r>
    </w:p>
    <w:p w14:paraId="1F003C92">
      <w:pPr>
        <w:spacing w:line="600" w:lineRule="exact"/>
        <w:ind w:firstLine="640" w:firstLineChars="200"/>
        <w:rPr>
          <w:rFonts w:eastAsia="仿宋_GB2312"/>
          <w:kern w:val="0"/>
          <w:sz w:val="32"/>
          <w:szCs w:val="32"/>
        </w:rPr>
      </w:pPr>
      <w:r>
        <w:rPr>
          <w:rFonts w:eastAsia="楷体_GB2312"/>
          <w:bCs/>
          <w:kern w:val="0"/>
          <w:sz w:val="32"/>
          <w:szCs w:val="32"/>
        </w:rPr>
        <w:t>提升地质灾害风险防范能力。</w:t>
      </w:r>
      <w:r>
        <w:rPr>
          <w:rFonts w:eastAsia="仿宋_GB2312"/>
          <w:kern w:val="0"/>
          <w:sz w:val="32"/>
          <w:szCs w:val="32"/>
        </w:rPr>
        <w:t>根据自然条件、地质环境条件、地质灾害易发区分布特征，</w:t>
      </w:r>
      <w:r>
        <w:rPr>
          <w:rFonts w:hint="eastAsia" w:eastAsia="仿宋_GB2312"/>
          <w:kern w:val="0"/>
          <w:sz w:val="32"/>
          <w:szCs w:val="32"/>
        </w:rPr>
        <w:t>明确</w:t>
      </w:r>
      <w:r>
        <w:rPr>
          <w:rFonts w:eastAsia="仿宋_GB2312"/>
          <w:kern w:val="0"/>
          <w:sz w:val="32"/>
          <w:szCs w:val="32"/>
        </w:rPr>
        <w:t>地质灾害重点防治区，严格控制地质灾害风险防范区内及周边影响区域工程活动，落实地质灾害危险性评估制度，推进监测预警</w:t>
      </w:r>
      <w:r>
        <w:rPr>
          <w:rFonts w:hint="eastAsia" w:eastAsia="仿宋_GB2312"/>
          <w:kern w:val="0"/>
          <w:sz w:val="32"/>
          <w:szCs w:val="32"/>
        </w:rPr>
        <w:t>体系</w:t>
      </w:r>
      <w:r>
        <w:rPr>
          <w:rFonts w:eastAsia="仿宋_GB2312"/>
          <w:kern w:val="0"/>
          <w:sz w:val="32"/>
          <w:szCs w:val="32"/>
        </w:rPr>
        <w:t>建设，实施地质灾害综合治理工程，加强防灾减灾综合体系建设空间保障。对于大兴安岭山地南段中低山和低山丘陵区、阴山山地东段低中山区、阴山山地中西段低中山区、鄂尔多斯高原丘陵、河套平原黄河沿岸以工程防治措施为主，采取监测和生物措施；鄂尔多斯高原低中山区、阴山山地北部低山丘陵区、阿拉善高原中山区、内蒙古波状高平原重点防治区以监测、避让为主，生物、工程防治措施为辅。加大汛期地质灾害排查巡查力度，在呼伦贝尔</w:t>
      </w:r>
      <w:r>
        <w:rPr>
          <w:rFonts w:hint="eastAsia" w:eastAsia="仿宋_GB2312"/>
          <w:kern w:val="0"/>
          <w:sz w:val="32"/>
          <w:szCs w:val="32"/>
        </w:rPr>
        <w:t>市</w:t>
      </w:r>
      <w:r>
        <w:rPr>
          <w:rFonts w:eastAsia="仿宋_GB2312"/>
          <w:kern w:val="0"/>
          <w:sz w:val="32"/>
          <w:szCs w:val="32"/>
        </w:rPr>
        <w:t>、兴安盟、赤峰</w:t>
      </w:r>
      <w:r>
        <w:rPr>
          <w:rFonts w:hint="eastAsia" w:eastAsia="仿宋_GB2312"/>
          <w:kern w:val="0"/>
          <w:sz w:val="32"/>
          <w:szCs w:val="32"/>
        </w:rPr>
        <w:t>市</w:t>
      </w:r>
      <w:r>
        <w:rPr>
          <w:rFonts w:eastAsia="仿宋_GB2312"/>
          <w:kern w:val="0"/>
          <w:sz w:val="32"/>
          <w:szCs w:val="32"/>
        </w:rPr>
        <w:t>、乌兰察布</w:t>
      </w:r>
      <w:r>
        <w:rPr>
          <w:rFonts w:hint="eastAsia" w:eastAsia="仿宋_GB2312"/>
          <w:kern w:val="0"/>
          <w:sz w:val="32"/>
          <w:szCs w:val="32"/>
        </w:rPr>
        <w:t>市</w:t>
      </w:r>
      <w:r>
        <w:rPr>
          <w:rFonts w:eastAsia="仿宋_GB2312"/>
          <w:kern w:val="0"/>
          <w:sz w:val="32"/>
          <w:szCs w:val="32"/>
        </w:rPr>
        <w:t>、包头</w:t>
      </w:r>
      <w:r>
        <w:rPr>
          <w:rFonts w:hint="eastAsia" w:eastAsia="仿宋_GB2312"/>
          <w:kern w:val="0"/>
          <w:sz w:val="32"/>
          <w:szCs w:val="32"/>
        </w:rPr>
        <w:t>市</w:t>
      </w:r>
      <w:r>
        <w:rPr>
          <w:rFonts w:eastAsia="仿宋_GB2312"/>
          <w:kern w:val="0"/>
          <w:sz w:val="32"/>
          <w:szCs w:val="32"/>
        </w:rPr>
        <w:t>、巴彦淖尔</w:t>
      </w:r>
      <w:r>
        <w:rPr>
          <w:rFonts w:hint="eastAsia" w:eastAsia="仿宋_GB2312"/>
          <w:kern w:val="0"/>
          <w:sz w:val="32"/>
          <w:szCs w:val="32"/>
        </w:rPr>
        <w:t>市</w:t>
      </w:r>
      <w:r>
        <w:rPr>
          <w:rFonts w:eastAsia="仿宋_GB2312"/>
          <w:kern w:val="0"/>
          <w:sz w:val="32"/>
          <w:szCs w:val="32"/>
        </w:rPr>
        <w:t>等地区地质灾害隐患较重的危险点布设监测预警设备，充分保障安全工程治理用地</w:t>
      </w:r>
      <w:r>
        <w:rPr>
          <w:rFonts w:hint="eastAsia" w:eastAsia="仿宋_GB2312"/>
          <w:kern w:val="0"/>
          <w:sz w:val="32"/>
          <w:szCs w:val="32"/>
        </w:rPr>
        <w:t>需求</w:t>
      </w:r>
      <w:r>
        <w:rPr>
          <w:rFonts w:eastAsia="仿宋_GB2312"/>
          <w:kern w:val="0"/>
          <w:sz w:val="32"/>
          <w:szCs w:val="32"/>
        </w:rPr>
        <w:t>，消除特大型地质灾害隐患点的威胁。</w:t>
      </w:r>
    </w:p>
    <w:p w14:paraId="0C99C6C2">
      <w:pPr>
        <w:spacing w:line="600" w:lineRule="exact"/>
        <w:ind w:firstLine="640" w:firstLineChars="200"/>
        <w:rPr>
          <w:rFonts w:eastAsia="仿宋_GB2312"/>
          <w:kern w:val="0"/>
          <w:sz w:val="32"/>
          <w:szCs w:val="32"/>
        </w:rPr>
      </w:pPr>
      <w:r>
        <w:rPr>
          <w:rFonts w:eastAsia="楷体_GB2312"/>
          <w:bCs/>
          <w:kern w:val="0"/>
          <w:sz w:val="32"/>
          <w:szCs w:val="32"/>
        </w:rPr>
        <w:t>提升地震灾害风险防范能力。</w:t>
      </w:r>
      <w:r>
        <w:rPr>
          <w:rFonts w:eastAsia="仿宋_GB2312"/>
          <w:kern w:val="0"/>
          <w:sz w:val="32"/>
          <w:szCs w:val="32"/>
        </w:rPr>
        <w:t>强化城市活断层探测，开展大震危险源探查，加强房屋建筑和基础设施的地震灾害风险监测和隐患排查，定期开展地震灾害风险评估，对抗震能力不足的房屋设施开展抗震加固，提升城镇</w:t>
      </w:r>
      <w:r>
        <w:rPr>
          <w:rFonts w:hint="eastAsia" w:eastAsia="仿宋_GB2312"/>
          <w:kern w:val="0"/>
          <w:sz w:val="32"/>
          <w:szCs w:val="32"/>
        </w:rPr>
        <w:t>抗</w:t>
      </w:r>
      <w:r>
        <w:rPr>
          <w:rFonts w:eastAsia="仿宋_GB2312"/>
          <w:kern w:val="0"/>
          <w:sz w:val="32"/>
          <w:szCs w:val="32"/>
        </w:rPr>
        <w:t>震安全韧性。</w:t>
      </w:r>
    </w:p>
    <w:p w14:paraId="1171DC48">
      <w:pPr>
        <w:spacing w:line="600" w:lineRule="exact"/>
        <w:ind w:firstLine="640" w:firstLineChars="200"/>
        <w:rPr>
          <w:rFonts w:eastAsia="仿宋_GB2312"/>
          <w:kern w:val="0"/>
          <w:sz w:val="32"/>
          <w:szCs w:val="32"/>
        </w:rPr>
      </w:pPr>
      <w:r>
        <w:rPr>
          <w:rFonts w:eastAsia="楷体_GB2312"/>
          <w:bCs/>
          <w:kern w:val="0"/>
          <w:sz w:val="32"/>
          <w:szCs w:val="32"/>
        </w:rPr>
        <w:t>保障森林草原防灾减灾工程建设用地。</w:t>
      </w:r>
      <w:r>
        <w:rPr>
          <w:rFonts w:eastAsia="仿宋_GB2312"/>
          <w:kern w:val="0"/>
          <w:sz w:val="32"/>
          <w:szCs w:val="32"/>
        </w:rPr>
        <w:t>加强林区和草原区抗灾减灾基础设施建设，提升干旱风沙、雪灾、虫害、鼠害等抗御能力，完善区域协同救援机制，强化防火隔离带功能，防止灾情快速扩散，健全火险预警体系。加快牧区半牧区母畜越冬暖棚、饲草储备库建设，增强森林草原防火道功能。完善灾情监测预警、灾害评估、应急响应机制，提高应急保障能力。</w:t>
      </w:r>
    </w:p>
    <w:p w14:paraId="391C611D">
      <w:pPr>
        <w:spacing w:line="600" w:lineRule="exact"/>
        <w:ind w:firstLine="640" w:firstLineChars="200"/>
        <w:rPr>
          <w:rFonts w:eastAsia="仿宋_GB2312"/>
          <w:kern w:val="0"/>
          <w:sz w:val="32"/>
          <w:szCs w:val="32"/>
        </w:rPr>
      </w:pPr>
      <w:r>
        <w:rPr>
          <w:rFonts w:eastAsia="楷体_GB2312"/>
          <w:bCs/>
          <w:kern w:val="0"/>
          <w:sz w:val="32"/>
          <w:szCs w:val="32"/>
        </w:rPr>
        <w:t>保障防洪防涝工程设施建设用地。</w:t>
      </w:r>
      <w:r>
        <w:rPr>
          <w:rFonts w:eastAsia="仿宋_GB2312"/>
          <w:kern w:val="0"/>
          <w:sz w:val="32"/>
          <w:szCs w:val="32"/>
        </w:rPr>
        <w:t>加强黄河分凌、分洪应急工程体系建设。保障黄河、西辽河、嫩江流域及主要河流干线堤防建设用地需求，提高重大支流及重点河段防洪能力，推进水库、水闸除险加固及中小河流的重要河段治理工程建设，提高防洪排涝能力。</w:t>
      </w:r>
    </w:p>
    <w:p w14:paraId="6EF1C9A3">
      <w:pPr>
        <w:spacing w:line="600" w:lineRule="exact"/>
        <w:ind w:firstLine="640" w:firstLineChars="200"/>
        <w:rPr>
          <w:rFonts w:eastAsia="仿宋_GB2312"/>
          <w:kern w:val="0"/>
          <w:sz w:val="32"/>
          <w:szCs w:val="32"/>
        </w:rPr>
      </w:pPr>
      <w:r>
        <w:rPr>
          <w:rFonts w:eastAsia="楷体_GB2312"/>
          <w:bCs/>
          <w:kern w:val="0"/>
          <w:sz w:val="32"/>
          <w:szCs w:val="32"/>
        </w:rPr>
        <w:t>保障城市公共防灾设施用地。</w:t>
      </w:r>
      <w:r>
        <w:rPr>
          <w:rFonts w:eastAsia="仿宋_GB2312"/>
          <w:kern w:val="0"/>
          <w:sz w:val="32"/>
          <w:szCs w:val="32"/>
        </w:rPr>
        <w:t>划定地震、洪涝等自然灾害高风险防控区域和化工园区、危险化学品重大危险源安全防护距离，优化消防救援设施、应急避难场所、救灾应急物资储备库等防灾减灾救灾资源的区域布局。加强城市人口密集区人防工程和河道防洪能力建设。强化地震</w:t>
      </w:r>
      <w:r>
        <w:rPr>
          <w:rFonts w:hint="eastAsia" w:eastAsia="仿宋_GB2312"/>
          <w:kern w:val="0"/>
          <w:sz w:val="32"/>
          <w:szCs w:val="32"/>
        </w:rPr>
        <w:t>和</w:t>
      </w:r>
      <w:r>
        <w:rPr>
          <w:rFonts w:eastAsia="仿宋_GB2312"/>
          <w:kern w:val="0"/>
          <w:sz w:val="32"/>
          <w:szCs w:val="32"/>
        </w:rPr>
        <w:t>地质灾害隐患区域应急避难场所</w:t>
      </w:r>
      <w:r>
        <w:rPr>
          <w:rFonts w:hint="eastAsia" w:eastAsia="仿宋_GB2312"/>
          <w:kern w:val="0"/>
          <w:sz w:val="32"/>
          <w:szCs w:val="32"/>
        </w:rPr>
        <w:t>空间保障</w:t>
      </w:r>
      <w:r>
        <w:rPr>
          <w:rFonts w:eastAsia="仿宋_GB2312"/>
          <w:kern w:val="0"/>
          <w:sz w:val="32"/>
          <w:szCs w:val="32"/>
        </w:rPr>
        <w:t>，预留地震监测设施和观测环境保护用地。充分保障生命线系统应急体系建设用地需求，提高救灾能力。到2035年，</w:t>
      </w:r>
      <w:r>
        <w:rPr>
          <w:rFonts w:hint="eastAsia" w:eastAsia="仿宋_GB2312"/>
          <w:kern w:val="0"/>
          <w:sz w:val="32"/>
          <w:szCs w:val="32"/>
        </w:rPr>
        <w:t>内蒙古自治区</w:t>
      </w:r>
      <w:r>
        <w:rPr>
          <w:rFonts w:eastAsia="仿宋_GB2312"/>
          <w:kern w:val="0"/>
          <w:sz w:val="32"/>
          <w:szCs w:val="32"/>
        </w:rPr>
        <w:t>城市公共防灾能力明显提升。</w:t>
      </w:r>
      <w:bookmarkEnd w:id="257"/>
    </w:p>
    <w:p w14:paraId="068D7B4D">
      <w:pPr>
        <w:pStyle w:val="3"/>
        <w:spacing w:before="156" w:beforeLines="50" w:after="156" w:afterLines="50" w:line="600" w:lineRule="exact"/>
        <w:rPr>
          <w:rFonts w:ascii="Times New Roman" w:hAnsi="Times New Roman"/>
          <w:b w:val="0"/>
          <w:bCs w:val="0"/>
        </w:rPr>
      </w:pPr>
      <w:bookmarkStart w:id="315" w:name="_Toc155861097"/>
      <w:bookmarkStart w:id="316" w:name="_Toc160715675"/>
      <w:r>
        <w:rPr>
          <w:rFonts w:ascii="Times New Roman" w:hAnsi="Times New Roman"/>
          <w:b w:val="0"/>
          <w:bCs w:val="0"/>
        </w:rPr>
        <w:t>第六节 强化重大基础设施空间统筹</w:t>
      </w:r>
      <w:bookmarkEnd w:id="315"/>
      <w:bookmarkEnd w:id="316"/>
    </w:p>
    <w:p w14:paraId="30903AF5">
      <w:pPr>
        <w:ind w:firstLine="640" w:firstLineChars="200"/>
        <w:rPr>
          <w:rFonts w:eastAsia="仿宋_GB2312"/>
          <w:bCs/>
          <w:kern w:val="0"/>
          <w:sz w:val="32"/>
          <w:szCs w:val="32"/>
        </w:rPr>
      </w:pPr>
      <w:r>
        <w:rPr>
          <w:rFonts w:eastAsia="楷体_GB2312"/>
          <w:bCs/>
          <w:kern w:val="0"/>
          <w:sz w:val="32"/>
          <w:szCs w:val="32"/>
        </w:rPr>
        <w:t>统筹协调各类基础设施布局。</w:t>
      </w:r>
      <w:r>
        <w:rPr>
          <w:rFonts w:eastAsia="仿宋_GB2312"/>
          <w:bCs/>
          <w:kern w:val="0"/>
          <w:sz w:val="32"/>
          <w:szCs w:val="32"/>
        </w:rPr>
        <w:t>加强交通、水利、能源、环境、通信、防灾减灾等专项规划与国土空间规划衔接，在国土空间规划</w:t>
      </w:r>
      <w:r>
        <w:rPr>
          <w:rFonts w:hint="eastAsia" w:eastAsia="仿宋_GB2312"/>
          <w:bCs/>
          <w:kern w:val="0"/>
          <w:sz w:val="32"/>
          <w:szCs w:val="32"/>
        </w:rPr>
        <w:t>“</w:t>
      </w:r>
      <w:r>
        <w:rPr>
          <w:rFonts w:eastAsia="仿宋_GB2312"/>
          <w:bCs/>
          <w:kern w:val="0"/>
          <w:sz w:val="32"/>
          <w:szCs w:val="32"/>
        </w:rPr>
        <w:t>一张图</w:t>
      </w:r>
      <w:r>
        <w:rPr>
          <w:rFonts w:hint="eastAsia" w:eastAsia="仿宋_GB2312"/>
          <w:bCs/>
          <w:kern w:val="0"/>
          <w:sz w:val="32"/>
          <w:szCs w:val="32"/>
        </w:rPr>
        <w:t>”</w:t>
      </w:r>
      <w:r>
        <w:rPr>
          <w:rFonts w:eastAsia="仿宋_GB2312"/>
          <w:bCs/>
          <w:kern w:val="0"/>
          <w:sz w:val="32"/>
          <w:szCs w:val="32"/>
        </w:rPr>
        <w:t>上统筹各相关专项领域的空间需求，协调项目选址、布局和空间规模，优化空间结构、功能和发展模式，优先保障国防军工、人民防空等国家安全基础设施建设空间需求，强化周边安全距离管控，为建立布局合理的应急避难场所体系和人员防护体系提供空间保障，逐步构建现代化基础设施空间保障体系。</w:t>
      </w:r>
    </w:p>
    <w:p w14:paraId="1829B8D8">
      <w:pPr>
        <w:ind w:firstLine="640" w:firstLineChars="200"/>
        <w:rPr>
          <w:rFonts w:eastAsia="仿宋_GB2312"/>
          <w:kern w:val="0"/>
          <w:sz w:val="32"/>
          <w:szCs w:val="32"/>
        </w:rPr>
      </w:pPr>
      <w:r>
        <w:rPr>
          <w:rFonts w:eastAsia="楷体_GB2312"/>
          <w:bCs/>
          <w:kern w:val="0"/>
          <w:sz w:val="32"/>
          <w:szCs w:val="32"/>
        </w:rPr>
        <w:t>保障重大基础设施用地。</w:t>
      </w:r>
      <w:r>
        <w:rPr>
          <w:rFonts w:eastAsia="仿宋_GB2312"/>
          <w:kern w:val="0"/>
          <w:sz w:val="32"/>
          <w:szCs w:val="32"/>
        </w:rPr>
        <w:t>保障国家、自治区重大基础设施建设，合理避让永久基本农田、生态保护红线、饮用水水源保护区、自然灾害高风险区等区域，降低工程对自然生态空间的分割和环境影响，加强军事设施保护工作。强化交通、水利、能源、环境、通信、防灾减灾等基础设施的空间统筹，预留基础设施廊道空间，优化基础设施网络和布局形态，确保基础设施建设线位、点位等空间资源有效预留。</w:t>
      </w:r>
    </w:p>
    <w:p w14:paraId="0D773157">
      <w:pPr>
        <w:spacing w:after="312" w:afterLines="100"/>
        <w:jc w:val="center"/>
        <w:outlineLvl w:val="0"/>
        <w:rPr>
          <w:rFonts w:hint="eastAsia" w:ascii="方正小标宋简体" w:eastAsia="方正小标宋简体"/>
          <w:sz w:val="36"/>
          <w:szCs w:val="32"/>
        </w:rPr>
      </w:pPr>
      <w:r>
        <w:rPr>
          <w:rFonts w:eastAsia="方正小标宋_GBK"/>
          <w:sz w:val="40"/>
          <w:szCs w:val="32"/>
        </w:rPr>
        <w:br w:type="page"/>
      </w:r>
      <w:bookmarkStart w:id="317" w:name="_Toc155861098"/>
      <w:bookmarkStart w:id="318" w:name="_Toc160715676"/>
      <w:r>
        <w:rPr>
          <w:rFonts w:hint="eastAsia" w:ascii="方正小标宋简体" w:eastAsia="方正小标宋简体"/>
          <w:sz w:val="36"/>
          <w:szCs w:val="32"/>
        </w:rPr>
        <w:t>第十二章 规划传导</w:t>
      </w:r>
      <w:bookmarkEnd w:id="317"/>
      <w:bookmarkEnd w:id="318"/>
    </w:p>
    <w:p w14:paraId="3002C9DF">
      <w:pPr>
        <w:pStyle w:val="70"/>
        <w:spacing w:line="600" w:lineRule="exact"/>
        <w:ind w:firstLine="640" w:firstLineChars="200"/>
        <w:rPr>
          <w:rFonts w:ascii="Times New Roman" w:hAnsi="Times New Roman" w:eastAsia="仿宋_GB2312" w:cs="Times New Roman"/>
          <w:kern w:val="0"/>
          <w:sz w:val="32"/>
          <w:szCs w:val="32"/>
          <w:lang w:val="en-US" w:eastAsia="zh-CN" w:bidi="ar-SA"/>
        </w:rPr>
      </w:pPr>
      <w:r>
        <w:rPr>
          <w:rFonts w:ascii="Times New Roman" w:hAnsi="Times New Roman" w:eastAsia="仿宋_GB2312" w:cs="Times New Roman"/>
          <w:kern w:val="0"/>
          <w:sz w:val="32"/>
          <w:szCs w:val="32"/>
          <w:lang w:val="en-US" w:eastAsia="zh-CN" w:bidi="ar-SA"/>
        </w:rPr>
        <w:t>坚持底线思维，体现战略性、协调性、综合性和约束性，加强盟市纵向传导和专项规划横向传导，做好近期规划，逐级落实国家和自治区国土空间规划的核心理念、战略意图和管控要求。</w:t>
      </w:r>
    </w:p>
    <w:p w14:paraId="4D304958">
      <w:pPr>
        <w:pStyle w:val="3"/>
        <w:spacing w:before="156" w:beforeLines="50" w:after="156" w:afterLines="50" w:line="600" w:lineRule="exact"/>
        <w:rPr>
          <w:rFonts w:ascii="Times New Roman" w:hAnsi="Times New Roman"/>
          <w:b w:val="0"/>
          <w:bCs w:val="0"/>
        </w:rPr>
      </w:pPr>
      <w:bookmarkStart w:id="319" w:name="_Toc160715677"/>
      <w:bookmarkStart w:id="320" w:name="_Toc155861099"/>
      <w:bookmarkStart w:id="321" w:name="_Toc57469827"/>
      <w:r>
        <w:rPr>
          <w:rFonts w:ascii="Times New Roman" w:hAnsi="Times New Roman"/>
          <w:b w:val="0"/>
          <w:bCs w:val="0"/>
        </w:rPr>
        <w:t>第一节 加强盟市规划指导</w:t>
      </w:r>
      <w:bookmarkEnd w:id="319"/>
      <w:bookmarkEnd w:id="320"/>
    </w:p>
    <w:p w14:paraId="66186B6B">
      <w:pPr>
        <w:spacing w:line="600" w:lineRule="exact"/>
        <w:ind w:firstLine="640" w:firstLineChars="200"/>
        <w:rPr>
          <w:rFonts w:eastAsia="仿宋_GB2312"/>
          <w:kern w:val="0"/>
          <w:sz w:val="32"/>
          <w:szCs w:val="32"/>
        </w:rPr>
      </w:pPr>
      <w:r>
        <w:rPr>
          <w:rFonts w:eastAsia="仿宋_GB2312"/>
          <w:kern w:val="0"/>
          <w:sz w:val="32"/>
          <w:szCs w:val="32"/>
        </w:rPr>
        <w:t>按照自上而下、上下结合的要求，通过指标控制、分区传导、底线管控、名录管理、政策要求等方式，落实自治区国土空间保护开发目标战略，依法开展规划环评工作，指导盟市国土空间规划，确保规划顺利实施。</w:t>
      </w:r>
    </w:p>
    <w:p w14:paraId="05244352">
      <w:pPr>
        <w:pStyle w:val="70"/>
        <w:spacing w:line="600" w:lineRule="exact"/>
        <w:ind w:firstLine="640" w:firstLineChars="200"/>
        <w:rPr>
          <w:rFonts w:ascii="Times New Roman" w:hAnsi="Times New Roman" w:eastAsia="仿宋_GB2312" w:cs="Times New Roman"/>
          <w:kern w:val="0"/>
          <w:sz w:val="32"/>
          <w:szCs w:val="32"/>
          <w:lang w:val="en-US" w:eastAsia="zh-CN" w:bidi="ar-SA"/>
        </w:rPr>
      </w:pPr>
      <w:r>
        <w:rPr>
          <w:rFonts w:ascii="Times New Roman" w:hAnsi="Times New Roman" w:eastAsia="楷体_GB2312" w:cs="Times New Roman"/>
          <w:bCs/>
          <w:kern w:val="0"/>
          <w:sz w:val="32"/>
          <w:szCs w:val="32"/>
          <w:lang w:val="en-US" w:eastAsia="zh-CN" w:bidi="ar-SA"/>
        </w:rPr>
        <w:t>科学谋划规划战略。</w:t>
      </w:r>
      <w:r>
        <w:rPr>
          <w:rFonts w:ascii="Times New Roman" w:hAnsi="Times New Roman" w:eastAsia="仿宋_GB2312" w:cs="Times New Roman"/>
          <w:kern w:val="0"/>
          <w:sz w:val="32"/>
          <w:szCs w:val="32"/>
          <w:lang w:val="en-US" w:eastAsia="zh-CN" w:bidi="ar-SA"/>
        </w:rPr>
        <w:t>落实《规划》战略目标、空间布局和重大项目，深入实施区域协调发展战略、区域重大战略、主体功能区战略、新型城镇化战略等国家战略要求，按照自治区党委</w:t>
      </w:r>
      <w:r>
        <w:rPr>
          <w:rFonts w:hint="eastAsia" w:ascii="Times New Roman" w:hAnsi="Times New Roman" w:eastAsia="仿宋_GB2312" w:cs="Times New Roman"/>
          <w:kern w:val="0"/>
          <w:sz w:val="32"/>
          <w:szCs w:val="32"/>
          <w:lang w:val="en-US" w:eastAsia="zh-CN" w:bidi="ar-SA"/>
        </w:rPr>
        <w:t>、</w:t>
      </w:r>
      <w:r>
        <w:rPr>
          <w:rFonts w:ascii="Times New Roman" w:hAnsi="Times New Roman" w:eastAsia="仿宋_GB2312" w:cs="Times New Roman"/>
          <w:kern w:val="0"/>
          <w:sz w:val="32"/>
          <w:szCs w:val="32"/>
          <w:lang w:val="en-US" w:eastAsia="zh-CN" w:bidi="ar-SA"/>
        </w:rPr>
        <w:t>政府有关要求，梳理《规划》确定的全域保护、集聚开发、绿色高效、魅力草原、固边强堡等战略措施，落实到各盟市国土空间规划。</w:t>
      </w:r>
    </w:p>
    <w:p w14:paraId="2EF629BD">
      <w:pPr>
        <w:pStyle w:val="70"/>
        <w:spacing w:line="600" w:lineRule="exact"/>
        <w:ind w:firstLine="640" w:firstLineChars="200"/>
        <w:rPr>
          <w:rFonts w:ascii="Times New Roman" w:hAnsi="Times New Roman" w:eastAsia="仿宋_GB2312" w:cs="Times New Roman"/>
          <w:kern w:val="0"/>
          <w:sz w:val="32"/>
          <w:szCs w:val="32"/>
          <w:lang w:val="en-US" w:eastAsia="zh-CN" w:bidi="ar-SA"/>
        </w:rPr>
      </w:pPr>
      <w:r>
        <w:rPr>
          <w:rFonts w:ascii="Times New Roman" w:hAnsi="Times New Roman" w:eastAsia="楷体_GB2312" w:cs="Times New Roman"/>
          <w:bCs/>
          <w:kern w:val="0"/>
          <w:sz w:val="32"/>
          <w:szCs w:val="32"/>
          <w:lang w:val="en-US" w:eastAsia="zh-CN" w:bidi="ar-SA"/>
        </w:rPr>
        <w:t>合理确定规划指标。</w:t>
      </w:r>
      <w:r>
        <w:rPr>
          <w:rFonts w:ascii="Times New Roman" w:hAnsi="Times New Roman" w:eastAsia="仿宋_GB2312" w:cs="Times New Roman"/>
          <w:kern w:val="0"/>
          <w:sz w:val="32"/>
          <w:szCs w:val="32"/>
          <w:lang w:val="en-US" w:eastAsia="zh-CN" w:bidi="ar-SA"/>
        </w:rPr>
        <w:t>各盟市按照《规划》指标要求，完善指标体系，严格落实三条控制线，不在军队现状城镇建设用地上规划生态保护红线、永久基本农田等。对于耕地保有量、永久基本农田保护面积、生态保护红线面积、基本草原面积等指标不得低于自治区下达指标；用水总量不得突破自治区下达指标；林地保有量、森林覆盖率、草原综合植被盖度、</w:t>
      </w:r>
      <w:r>
        <w:rPr>
          <w:rFonts w:hint="eastAsia" w:ascii="Times New Roman" w:hAnsi="Times New Roman" w:eastAsia="仿宋_GB2312" w:cs="Times New Roman"/>
          <w:kern w:val="0"/>
          <w:sz w:val="32"/>
          <w:szCs w:val="32"/>
          <w:lang w:val="en-US" w:eastAsia="zh-CN" w:bidi="ar-SA"/>
        </w:rPr>
        <w:t>单位国内</w:t>
      </w:r>
      <w:r>
        <w:rPr>
          <w:rFonts w:ascii="Times New Roman" w:hAnsi="Times New Roman" w:eastAsia="仿宋_GB2312" w:cs="Times New Roman"/>
          <w:kern w:val="0"/>
          <w:sz w:val="32"/>
          <w:szCs w:val="32"/>
          <w:lang w:val="en-US" w:eastAsia="zh-CN" w:bidi="ar-SA"/>
        </w:rPr>
        <w:t>生产总值建设用地</w:t>
      </w:r>
      <w:r>
        <w:rPr>
          <w:rFonts w:hint="eastAsia" w:ascii="Times New Roman" w:hAnsi="Times New Roman" w:eastAsia="仿宋_GB2312" w:cs="Times New Roman"/>
          <w:kern w:val="0"/>
          <w:sz w:val="32"/>
          <w:szCs w:val="32"/>
          <w:lang w:val="en-US" w:eastAsia="zh-CN" w:bidi="ar-SA"/>
        </w:rPr>
        <w:t>使用</w:t>
      </w:r>
      <w:r>
        <w:rPr>
          <w:rFonts w:ascii="Times New Roman" w:hAnsi="Times New Roman" w:eastAsia="仿宋_GB2312" w:cs="Times New Roman"/>
          <w:kern w:val="0"/>
          <w:sz w:val="32"/>
          <w:szCs w:val="32"/>
          <w:lang w:val="en-US" w:eastAsia="zh-CN" w:bidi="ar-SA"/>
        </w:rPr>
        <w:t>面积下降等预期性指标达到自治区下达的预期目标。</w:t>
      </w:r>
    </w:p>
    <w:p w14:paraId="3D2AEBEF">
      <w:pPr>
        <w:pStyle w:val="70"/>
        <w:spacing w:line="600" w:lineRule="exact"/>
        <w:ind w:firstLine="640" w:firstLineChars="200"/>
        <w:rPr>
          <w:rFonts w:ascii="Times New Roman" w:hAnsi="Times New Roman" w:eastAsia="仿宋_GB2312" w:cs="Times New Roman"/>
          <w:kern w:val="0"/>
          <w:sz w:val="32"/>
          <w:szCs w:val="32"/>
          <w:lang w:val="en-US" w:eastAsia="zh-CN" w:bidi="ar-SA"/>
        </w:rPr>
      </w:pPr>
      <w:r>
        <w:rPr>
          <w:rFonts w:ascii="Times New Roman" w:hAnsi="Times New Roman" w:eastAsia="楷体_GB2312" w:cs="Times New Roman"/>
          <w:bCs/>
          <w:kern w:val="0"/>
          <w:sz w:val="32"/>
          <w:szCs w:val="32"/>
          <w:lang w:val="en-US" w:eastAsia="zh-CN" w:bidi="ar-SA"/>
        </w:rPr>
        <w:t>优化空间格局。</w:t>
      </w:r>
      <w:r>
        <w:rPr>
          <w:rFonts w:ascii="Times New Roman" w:hAnsi="Times New Roman" w:eastAsia="仿宋_GB2312" w:cs="Times New Roman"/>
          <w:kern w:val="0"/>
          <w:sz w:val="32"/>
          <w:szCs w:val="32"/>
          <w:lang w:val="en-US" w:eastAsia="zh-CN" w:bidi="ar-SA"/>
        </w:rPr>
        <w:t>各盟市应根据《规划》合理布局农牧生产格局、生态安全格局、城镇发展格局，做好资源环境承载能力和国土空间开发适宜性评价，结合当地自然地理格局、资源禀赋、人口分布、经济布局、国土利用方式、生态环境保护等因素，</w:t>
      </w:r>
      <w:bookmarkStart w:id="322" w:name="OLE_LINK1"/>
      <w:r>
        <w:rPr>
          <w:rFonts w:ascii="Times New Roman" w:hAnsi="Times New Roman" w:eastAsia="仿宋_GB2312" w:cs="Times New Roman"/>
          <w:kern w:val="0"/>
          <w:sz w:val="32"/>
          <w:szCs w:val="32"/>
          <w:lang w:val="en-US" w:eastAsia="zh-CN" w:bidi="ar-SA"/>
        </w:rPr>
        <w:t>进一步深化细化盟市国土空间规划格局，统筹好中心城区、旗县（市</w:t>
      </w:r>
      <w:r>
        <w:rPr>
          <w:rFonts w:hint="eastAsia" w:ascii="Times New Roman" w:hAnsi="Times New Roman" w:eastAsia="仿宋_GB2312" w:cs="Times New Roman"/>
          <w:kern w:val="0"/>
          <w:sz w:val="32"/>
          <w:szCs w:val="32"/>
          <w:lang w:val="en-US" w:eastAsia="zh-CN" w:bidi="ar-SA"/>
        </w:rPr>
        <w:t>、区</w:t>
      </w:r>
      <w:r>
        <w:rPr>
          <w:rFonts w:ascii="Times New Roman" w:hAnsi="Times New Roman" w:eastAsia="仿宋_GB2312" w:cs="Times New Roman"/>
          <w:kern w:val="0"/>
          <w:sz w:val="32"/>
          <w:szCs w:val="32"/>
          <w:lang w:val="en-US" w:eastAsia="zh-CN" w:bidi="ar-SA"/>
        </w:rPr>
        <w:t>）城镇和乡村的生态、产业、居住、公共服务、基础设施等各类用地结构和空间布局。</w:t>
      </w:r>
      <w:bookmarkEnd w:id="322"/>
    </w:p>
    <w:p w14:paraId="62E52D02">
      <w:pPr>
        <w:pStyle w:val="3"/>
        <w:spacing w:before="156" w:beforeLines="50" w:after="156" w:afterLines="50" w:line="600" w:lineRule="exact"/>
        <w:rPr>
          <w:rFonts w:ascii="Times New Roman" w:hAnsi="Times New Roman"/>
          <w:b w:val="0"/>
          <w:bCs w:val="0"/>
        </w:rPr>
      </w:pPr>
      <w:bookmarkStart w:id="323" w:name="_Toc160715678"/>
      <w:bookmarkStart w:id="324" w:name="_Toc155861100"/>
      <w:r>
        <w:rPr>
          <w:rFonts w:ascii="Times New Roman" w:hAnsi="Times New Roman"/>
          <w:b w:val="0"/>
          <w:bCs w:val="0"/>
        </w:rPr>
        <w:t>第二节 强化专项规划</w:t>
      </w:r>
      <w:bookmarkEnd w:id="321"/>
      <w:r>
        <w:rPr>
          <w:rFonts w:ascii="Times New Roman" w:hAnsi="Times New Roman"/>
          <w:b w:val="0"/>
          <w:bCs w:val="0"/>
        </w:rPr>
        <w:t>约束</w:t>
      </w:r>
      <w:bookmarkEnd w:id="323"/>
      <w:bookmarkEnd w:id="324"/>
    </w:p>
    <w:p w14:paraId="77EA3A02">
      <w:pPr>
        <w:pStyle w:val="70"/>
        <w:spacing w:line="600" w:lineRule="exact"/>
        <w:ind w:firstLine="640" w:firstLineChars="200"/>
        <w:rPr>
          <w:rFonts w:ascii="Times New Roman" w:hAnsi="Times New Roman" w:eastAsia="仿宋_GB2312" w:cs="Times New Roman"/>
          <w:kern w:val="0"/>
          <w:sz w:val="32"/>
          <w:szCs w:val="32"/>
          <w:lang w:val="en-US" w:eastAsia="zh-CN" w:bidi="ar-SA"/>
        </w:rPr>
      </w:pPr>
      <w:bookmarkStart w:id="325" w:name="_Toc57469828"/>
      <w:r>
        <w:rPr>
          <w:rFonts w:ascii="Times New Roman" w:hAnsi="Times New Roman" w:eastAsia="楷体_GB2312" w:cs="Times New Roman"/>
          <w:bCs/>
          <w:kern w:val="0"/>
          <w:sz w:val="32"/>
          <w:szCs w:val="32"/>
          <w:lang w:val="en-US" w:eastAsia="zh-CN" w:bidi="ar-SA"/>
        </w:rPr>
        <w:t>统筹各类国土空间专项规划。</w:t>
      </w:r>
      <w:r>
        <w:rPr>
          <w:rFonts w:ascii="Times New Roman" w:hAnsi="Times New Roman" w:eastAsia="仿宋_GB2312" w:cs="Times New Roman"/>
          <w:kern w:val="0"/>
          <w:sz w:val="32"/>
          <w:szCs w:val="32"/>
          <w:lang w:val="en-US" w:eastAsia="zh-CN" w:bidi="ar-SA"/>
        </w:rPr>
        <w:t>各类国土空间相关专项规划要在总体规划约束下编制，强化对涉及空间利用的交通、能源</w:t>
      </w:r>
      <w:r>
        <w:rPr>
          <w:rFonts w:hint="eastAsia" w:ascii="Times New Roman" w:hAnsi="Times New Roman" w:eastAsia="仿宋_GB2312" w:cs="Times New Roman"/>
          <w:kern w:val="0"/>
          <w:sz w:val="32"/>
          <w:szCs w:val="32"/>
          <w:lang w:val="en-US" w:eastAsia="zh-CN" w:bidi="ar-SA"/>
        </w:rPr>
        <w:t>矿产</w:t>
      </w:r>
      <w:r>
        <w:rPr>
          <w:rFonts w:ascii="Times New Roman" w:hAnsi="Times New Roman" w:eastAsia="仿宋_GB2312" w:cs="Times New Roman"/>
          <w:kern w:val="0"/>
          <w:sz w:val="32"/>
          <w:szCs w:val="32"/>
          <w:lang w:val="en-US" w:eastAsia="zh-CN" w:bidi="ar-SA"/>
        </w:rPr>
        <w:t>、水利、市政、生态环境保护、文物保护、林业草原等专项规划的指导约束作用。</w:t>
      </w:r>
    </w:p>
    <w:p w14:paraId="0BEAB372">
      <w:pPr>
        <w:pStyle w:val="70"/>
        <w:spacing w:line="600" w:lineRule="exact"/>
        <w:ind w:firstLine="640" w:firstLineChars="200"/>
        <w:rPr>
          <w:rFonts w:ascii="Times New Roman" w:hAnsi="Times New Roman" w:eastAsia="仿宋_GB2312" w:cs="Times New Roman"/>
          <w:kern w:val="0"/>
          <w:sz w:val="32"/>
          <w:szCs w:val="32"/>
          <w:lang w:val="en-US" w:eastAsia="zh-CN" w:bidi="ar-SA"/>
        </w:rPr>
      </w:pPr>
      <w:r>
        <w:rPr>
          <w:rFonts w:ascii="Times New Roman" w:hAnsi="Times New Roman" w:eastAsia="楷体_GB2312" w:cs="Times New Roman"/>
          <w:bCs/>
          <w:kern w:val="0"/>
          <w:sz w:val="32"/>
          <w:szCs w:val="32"/>
          <w:lang w:val="en-US" w:eastAsia="zh-CN" w:bidi="ar-SA"/>
        </w:rPr>
        <w:t>强化底线约束。</w:t>
      </w:r>
      <w:r>
        <w:rPr>
          <w:rFonts w:ascii="Times New Roman" w:hAnsi="Times New Roman" w:eastAsia="仿宋_GB2312" w:cs="Times New Roman"/>
          <w:kern w:val="0"/>
          <w:sz w:val="32"/>
          <w:szCs w:val="32"/>
          <w:lang w:val="en-US" w:eastAsia="zh-CN" w:bidi="ar-SA"/>
        </w:rPr>
        <w:t>各部门不得在国土空间规划</w:t>
      </w:r>
      <w:r>
        <w:rPr>
          <w:rFonts w:hint="eastAsia" w:ascii="Times New Roman" w:hAnsi="Times New Roman" w:eastAsia="仿宋_GB2312" w:cs="Times New Roman"/>
          <w:kern w:val="0"/>
          <w:sz w:val="32"/>
          <w:szCs w:val="32"/>
          <w:lang w:val="en-US" w:eastAsia="zh-CN" w:bidi="ar-SA"/>
        </w:rPr>
        <w:t>体系</w:t>
      </w:r>
      <w:r>
        <w:rPr>
          <w:rFonts w:ascii="Times New Roman" w:hAnsi="Times New Roman" w:eastAsia="仿宋_GB2312" w:cs="Times New Roman"/>
          <w:kern w:val="0"/>
          <w:sz w:val="32"/>
          <w:szCs w:val="32"/>
          <w:lang w:val="en-US" w:eastAsia="zh-CN" w:bidi="ar-SA"/>
        </w:rPr>
        <w:t>外另设其他空间规划，交通、能源、水利、农业、市政、林业草原、生态环境保护、人民防空、旅游、通信、历史文化等具体领域以及跨行政区域、流域的各类专项规划，要以《规划》确定的布局与空间安排为依据，不得突破</w:t>
      </w:r>
      <w:r>
        <w:rPr>
          <w:rFonts w:hint="eastAsia" w:ascii="Times New Roman" w:hAnsi="Times New Roman" w:eastAsia="仿宋_GB2312" w:cs="Times New Roman"/>
          <w:kern w:val="0"/>
          <w:sz w:val="32"/>
          <w:szCs w:val="32"/>
          <w:lang w:val="en-US" w:eastAsia="zh-CN" w:bidi="ar-SA"/>
        </w:rPr>
        <w:t>《</w:t>
      </w:r>
      <w:r>
        <w:rPr>
          <w:rFonts w:ascii="Times New Roman" w:hAnsi="Times New Roman" w:eastAsia="仿宋_GB2312" w:cs="Times New Roman"/>
          <w:kern w:val="0"/>
          <w:sz w:val="32"/>
          <w:szCs w:val="32"/>
          <w:lang w:val="en-US" w:eastAsia="zh-CN" w:bidi="ar-SA"/>
        </w:rPr>
        <w:t>规划</w:t>
      </w:r>
      <w:r>
        <w:rPr>
          <w:rFonts w:hint="eastAsia" w:ascii="Times New Roman" w:hAnsi="Times New Roman" w:eastAsia="仿宋_GB2312" w:cs="Times New Roman"/>
          <w:kern w:val="0"/>
          <w:sz w:val="32"/>
          <w:szCs w:val="32"/>
          <w:lang w:val="en-US" w:eastAsia="zh-CN" w:bidi="ar-SA"/>
        </w:rPr>
        <w:t>》</w:t>
      </w:r>
      <w:r>
        <w:rPr>
          <w:rFonts w:ascii="Times New Roman" w:hAnsi="Times New Roman" w:eastAsia="仿宋_GB2312" w:cs="Times New Roman"/>
          <w:kern w:val="0"/>
          <w:sz w:val="32"/>
          <w:szCs w:val="32"/>
          <w:lang w:val="en-US" w:eastAsia="zh-CN" w:bidi="ar-SA"/>
        </w:rPr>
        <w:t>确定的各类空间用地布局。各类专项规划编制完成后要及时纳入国土空间规划</w:t>
      </w:r>
      <w:r>
        <w:rPr>
          <w:rFonts w:hint="eastAsia" w:ascii="Times New Roman" w:hAnsi="Times New Roman" w:eastAsia="仿宋_GB2312" w:cs="Times New Roman"/>
          <w:kern w:val="0"/>
          <w:sz w:val="32"/>
          <w:szCs w:val="32"/>
          <w:lang w:val="en-US" w:eastAsia="zh-CN" w:bidi="ar-SA"/>
        </w:rPr>
        <w:t>“</w:t>
      </w:r>
      <w:r>
        <w:rPr>
          <w:rFonts w:ascii="Times New Roman" w:hAnsi="Times New Roman" w:eastAsia="仿宋_GB2312" w:cs="Times New Roman"/>
          <w:kern w:val="0"/>
          <w:sz w:val="32"/>
          <w:szCs w:val="32"/>
          <w:lang w:val="en-US" w:eastAsia="zh-CN" w:bidi="ar-SA"/>
        </w:rPr>
        <w:t>一张图</w:t>
      </w:r>
      <w:r>
        <w:rPr>
          <w:rFonts w:hint="eastAsia" w:ascii="Times New Roman" w:hAnsi="Times New Roman" w:eastAsia="仿宋_GB2312" w:cs="Times New Roman"/>
          <w:kern w:val="0"/>
          <w:sz w:val="32"/>
          <w:szCs w:val="32"/>
          <w:lang w:val="en-US" w:eastAsia="zh-CN" w:bidi="ar-SA"/>
        </w:rPr>
        <w:t>”</w:t>
      </w:r>
      <w:r>
        <w:rPr>
          <w:rFonts w:ascii="Times New Roman" w:hAnsi="Times New Roman" w:eastAsia="仿宋_GB2312" w:cs="Times New Roman"/>
          <w:kern w:val="0"/>
          <w:sz w:val="32"/>
          <w:szCs w:val="32"/>
          <w:lang w:val="en-US" w:eastAsia="zh-CN" w:bidi="ar-SA"/>
        </w:rPr>
        <w:t>实施监督信息系统，实施严格管理。</w:t>
      </w:r>
    </w:p>
    <w:p w14:paraId="30F186A7">
      <w:pPr>
        <w:pStyle w:val="3"/>
        <w:spacing w:before="156" w:beforeLines="50" w:after="156" w:afterLines="50" w:line="600" w:lineRule="exact"/>
        <w:rPr>
          <w:rFonts w:ascii="Times New Roman" w:hAnsi="Times New Roman"/>
          <w:b w:val="0"/>
          <w:bCs w:val="0"/>
        </w:rPr>
      </w:pPr>
      <w:bookmarkStart w:id="326" w:name="_Toc155861101"/>
      <w:bookmarkStart w:id="327" w:name="_Toc160715679"/>
      <w:r>
        <w:rPr>
          <w:rFonts w:ascii="Times New Roman" w:hAnsi="Times New Roman"/>
          <w:b w:val="0"/>
          <w:bCs w:val="0"/>
        </w:rPr>
        <w:br w:type="page"/>
      </w:r>
      <w:r>
        <w:rPr>
          <w:rFonts w:ascii="Times New Roman" w:hAnsi="Times New Roman"/>
          <w:b w:val="0"/>
          <w:bCs w:val="0"/>
        </w:rPr>
        <w:t>第三节 近期规划</w:t>
      </w:r>
      <w:bookmarkEnd w:id="325"/>
      <w:bookmarkEnd w:id="326"/>
      <w:bookmarkEnd w:id="327"/>
    </w:p>
    <w:p w14:paraId="4D1B5800">
      <w:pPr>
        <w:spacing w:line="600" w:lineRule="exact"/>
        <w:ind w:firstLine="640" w:firstLineChars="200"/>
        <w:rPr>
          <w:rFonts w:eastAsia="仿宋_GB2312"/>
          <w:kern w:val="0"/>
          <w:sz w:val="32"/>
          <w:szCs w:val="32"/>
        </w:rPr>
      </w:pPr>
      <w:r>
        <w:rPr>
          <w:rFonts w:eastAsia="楷体_GB2312"/>
          <w:bCs/>
          <w:kern w:val="0"/>
          <w:sz w:val="32"/>
          <w:szCs w:val="32"/>
        </w:rPr>
        <w:t>优化国土空间保护开发格局。</w:t>
      </w:r>
      <w:r>
        <w:rPr>
          <w:rFonts w:eastAsia="仿宋_GB2312"/>
          <w:kern w:val="0"/>
          <w:sz w:val="32"/>
          <w:szCs w:val="32"/>
        </w:rPr>
        <w:t>加强国土空间治理体系建设，全面完成各级国土空间规划编制，建立</w:t>
      </w:r>
      <w:r>
        <w:rPr>
          <w:rFonts w:hint="eastAsia" w:eastAsia="仿宋_GB2312"/>
          <w:kern w:val="0"/>
          <w:sz w:val="32"/>
          <w:szCs w:val="32"/>
        </w:rPr>
        <w:t>“</w:t>
      </w:r>
      <w:r>
        <w:rPr>
          <w:rFonts w:eastAsia="仿宋_GB2312"/>
          <w:kern w:val="0"/>
          <w:sz w:val="32"/>
          <w:szCs w:val="32"/>
        </w:rPr>
        <w:t>多规合一</w:t>
      </w:r>
      <w:r>
        <w:rPr>
          <w:rFonts w:hint="eastAsia" w:eastAsia="仿宋_GB2312"/>
          <w:kern w:val="0"/>
          <w:sz w:val="32"/>
          <w:szCs w:val="32"/>
        </w:rPr>
        <w:t>”</w:t>
      </w:r>
      <w:r>
        <w:rPr>
          <w:rFonts w:eastAsia="仿宋_GB2312"/>
          <w:kern w:val="0"/>
          <w:sz w:val="32"/>
          <w:szCs w:val="32"/>
        </w:rPr>
        <w:t>的编制审批体系、实施监督体系、法规政策体系和技术标准体系，形成以国土空间规划为基础，统一用途管制为手段的国土空间保护开发制度。推进国土空间治理能力建设，依托国土空间基础信息平台，</w:t>
      </w:r>
      <w:r>
        <w:rPr>
          <w:rFonts w:hint="eastAsia" w:eastAsia="仿宋_GB2312"/>
          <w:kern w:val="0"/>
          <w:sz w:val="32"/>
          <w:szCs w:val="32"/>
        </w:rPr>
        <w:t>建立</w:t>
      </w:r>
      <w:r>
        <w:rPr>
          <w:rFonts w:eastAsia="仿宋_GB2312"/>
          <w:kern w:val="0"/>
          <w:sz w:val="32"/>
          <w:szCs w:val="32"/>
        </w:rPr>
        <w:t>国土空间规划</w:t>
      </w:r>
      <w:r>
        <w:rPr>
          <w:rFonts w:hint="eastAsia" w:eastAsia="仿宋_GB2312"/>
          <w:kern w:val="0"/>
          <w:sz w:val="32"/>
          <w:szCs w:val="32"/>
        </w:rPr>
        <w:t>“</w:t>
      </w:r>
      <w:r>
        <w:rPr>
          <w:rFonts w:eastAsia="仿宋_GB2312"/>
          <w:kern w:val="0"/>
          <w:sz w:val="32"/>
          <w:szCs w:val="32"/>
        </w:rPr>
        <w:t>一张图</w:t>
      </w:r>
      <w:r>
        <w:rPr>
          <w:rFonts w:hint="eastAsia" w:eastAsia="仿宋_GB2312"/>
          <w:kern w:val="0"/>
          <w:sz w:val="32"/>
          <w:szCs w:val="32"/>
        </w:rPr>
        <w:t>”</w:t>
      </w:r>
      <w:r>
        <w:rPr>
          <w:rFonts w:eastAsia="仿宋_GB2312"/>
          <w:kern w:val="0"/>
          <w:sz w:val="32"/>
          <w:szCs w:val="32"/>
        </w:rPr>
        <w:t>实施监督信息系统，构建国土空间规划动态监测评估预警和实施监管机制，健全资源环境承载能力监测预警长效机制，完善国土空间规划定期评估制度。</w:t>
      </w:r>
    </w:p>
    <w:p w14:paraId="58ADAAF9">
      <w:pPr>
        <w:spacing w:line="600" w:lineRule="exact"/>
        <w:ind w:firstLine="640" w:firstLineChars="200"/>
        <w:rPr>
          <w:rFonts w:eastAsia="仿宋_GB2312"/>
          <w:sz w:val="32"/>
          <w:szCs w:val="32"/>
        </w:rPr>
      </w:pPr>
      <w:r>
        <w:rPr>
          <w:rFonts w:eastAsia="楷体_GB2312"/>
          <w:bCs/>
          <w:kern w:val="0"/>
          <w:sz w:val="32"/>
          <w:szCs w:val="32"/>
        </w:rPr>
        <w:t>落实三条控制线划定和管控任务。</w:t>
      </w:r>
      <w:r>
        <w:rPr>
          <w:rFonts w:eastAsia="仿宋_GB2312"/>
          <w:kern w:val="0"/>
          <w:sz w:val="32"/>
          <w:szCs w:val="32"/>
        </w:rPr>
        <w:t>统筹划定</w:t>
      </w:r>
      <w:r>
        <w:rPr>
          <w:rFonts w:eastAsia="仿宋_GB2312"/>
          <w:sz w:val="32"/>
          <w:szCs w:val="32"/>
        </w:rPr>
        <w:t>耕地和永久基本农田、生态保护红线、城镇开发边界三条控制线</w:t>
      </w:r>
      <w:r>
        <w:rPr>
          <w:rFonts w:eastAsia="仿宋_GB2312"/>
          <w:kern w:val="0"/>
          <w:sz w:val="32"/>
          <w:szCs w:val="32"/>
        </w:rPr>
        <w:t>，严格落实耕地占补平衡，摸清耕地后备资源潜力，加强耕地储备库建设，健全生态保护红线制度，加强生态保护红线监督管理，严格城镇开发边界管控。</w:t>
      </w:r>
    </w:p>
    <w:p w14:paraId="0A7B7505">
      <w:pPr>
        <w:spacing w:line="600" w:lineRule="exact"/>
        <w:ind w:firstLine="640" w:firstLineChars="200"/>
        <w:rPr>
          <w:rFonts w:eastAsia="仿宋_GB2312"/>
          <w:kern w:val="0"/>
          <w:sz w:val="32"/>
          <w:szCs w:val="32"/>
        </w:rPr>
      </w:pPr>
      <w:r>
        <w:rPr>
          <w:rFonts w:eastAsia="楷体_GB2312"/>
          <w:bCs/>
          <w:kern w:val="0"/>
          <w:sz w:val="32"/>
          <w:szCs w:val="32"/>
        </w:rPr>
        <w:t>加大生态保护与修复力度。</w:t>
      </w:r>
      <w:r>
        <w:rPr>
          <w:rFonts w:eastAsia="仿宋_GB2312"/>
          <w:kern w:val="0"/>
          <w:sz w:val="32"/>
          <w:szCs w:val="32"/>
        </w:rPr>
        <w:t>编制国土空间生态保护修复专项规划，实施重要生态系统保护与修复重大工程，优先安排黄河流域重点生态区、东北森林带、北方防沙带等国家重要生态系统保护和修复工程，重点实施采煤沉陷区综合治理、独立工矿区改造提升工程、国有林场林区基础设施改善工程、乌梁素海等重点湖库污染防治和生态修复、地下水超采综合治理等国家环境保护和资源节约工程，在大兴安岭南麓嫩江流域南部河源水源涵养区等重要生态功能区，积极争取山水林田湖草沙一体化保护和修复项目。保障</w:t>
      </w:r>
      <w:r>
        <w:rPr>
          <w:rFonts w:hint="eastAsia" w:eastAsia="仿宋_GB2312"/>
          <w:kern w:val="0"/>
          <w:sz w:val="32"/>
          <w:szCs w:val="32"/>
        </w:rPr>
        <w:t>内蒙古</w:t>
      </w:r>
      <w:r>
        <w:rPr>
          <w:rFonts w:eastAsia="仿宋_GB2312"/>
          <w:kern w:val="0"/>
          <w:sz w:val="32"/>
          <w:szCs w:val="32"/>
        </w:rPr>
        <w:t>自治区</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草原和森林生态保护和修复重点工程、流域综合治理和湿地保护修复重点工程、防沙治沙重点工程等生态环境保护修复重点项目用地空间。加快以国家公园为主体的自然保护地体系建设，推动大青山、贺兰山、巴丹吉林、松嫩鹤乡、大兴安岭、呼伦贝尔等国家公园设立</w:t>
      </w:r>
      <w:r>
        <w:rPr>
          <w:rFonts w:hint="eastAsia" w:eastAsia="仿宋_GB2312"/>
          <w:kern w:val="0"/>
          <w:sz w:val="32"/>
          <w:szCs w:val="32"/>
        </w:rPr>
        <w:t>和建设</w:t>
      </w:r>
      <w:r>
        <w:rPr>
          <w:rFonts w:eastAsia="仿宋_GB2312"/>
          <w:kern w:val="0"/>
          <w:sz w:val="32"/>
          <w:szCs w:val="32"/>
        </w:rPr>
        <w:t>，保障用地空间。</w:t>
      </w:r>
    </w:p>
    <w:p w14:paraId="1A4E8078">
      <w:pPr>
        <w:spacing w:line="600" w:lineRule="exact"/>
        <w:ind w:firstLine="640" w:firstLineChars="200"/>
        <w:rPr>
          <w:rFonts w:eastAsia="仿宋"/>
          <w:sz w:val="32"/>
          <w:szCs w:val="32"/>
        </w:rPr>
      </w:pPr>
      <w:r>
        <w:rPr>
          <w:rFonts w:eastAsia="楷体_GB2312"/>
          <w:bCs/>
          <w:kern w:val="0"/>
          <w:sz w:val="32"/>
          <w:szCs w:val="32"/>
        </w:rPr>
        <w:t>优化农牧业用地空间。</w:t>
      </w:r>
      <w:r>
        <w:rPr>
          <w:rFonts w:eastAsia="仿宋_GB2312"/>
          <w:kern w:val="0"/>
          <w:sz w:val="32"/>
          <w:szCs w:val="32"/>
        </w:rPr>
        <w:t>以农产品主产区为重点开展高标准农田建设，西辽河流域大力实施高效节水灌溉，</w:t>
      </w:r>
      <w:r>
        <w:rPr>
          <w:rFonts w:hint="eastAsia" w:eastAsia="仿宋_GB2312"/>
          <w:kern w:val="0"/>
          <w:sz w:val="32"/>
          <w:szCs w:val="32"/>
        </w:rPr>
        <w:t>在</w:t>
      </w:r>
      <w:r>
        <w:rPr>
          <w:rFonts w:eastAsia="仿宋_GB2312"/>
          <w:kern w:val="0"/>
          <w:sz w:val="32"/>
          <w:szCs w:val="32"/>
        </w:rPr>
        <w:t>大兴安岭、阴山北麓等重点生态功能区</w:t>
      </w:r>
      <w:r>
        <w:rPr>
          <w:rFonts w:hint="eastAsia" w:eastAsia="仿宋_GB2312"/>
          <w:kern w:val="0"/>
          <w:sz w:val="32"/>
          <w:szCs w:val="32"/>
        </w:rPr>
        <w:t>巩固退耕还林还草成果</w:t>
      </w:r>
      <w:r>
        <w:rPr>
          <w:rFonts w:eastAsia="仿宋_GB2312"/>
          <w:kern w:val="0"/>
          <w:sz w:val="32"/>
          <w:szCs w:val="32"/>
        </w:rPr>
        <w:t>。调整农牧交错带用地结构，减少种植业用地，增加人工草地等养殖业用地。划定</w:t>
      </w:r>
      <w:r>
        <w:rPr>
          <w:rFonts w:hint="eastAsia" w:eastAsia="仿宋_GB2312"/>
          <w:kern w:val="0"/>
          <w:sz w:val="32"/>
          <w:szCs w:val="32"/>
        </w:rPr>
        <w:t>“</w:t>
      </w:r>
      <w:r>
        <w:rPr>
          <w:rFonts w:eastAsia="仿宋_GB2312"/>
          <w:kern w:val="0"/>
          <w:sz w:val="32"/>
          <w:szCs w:val="32"/>
        </w:rPr>
        <w:t>五大沙地</w:t>
      </w:r>
      <w:r>
        <w:rPr>
          <w:rFonts w:hint="eastAsia" w:eastAsia="仿宋_GB2312"/>
          <w:kern w:val="0"/>
          <w:sz w:val="32"/>
          <w:szCs w:val="32"/>
        </w:rPr>
        <w:t>”</w:t>
      </w:r>
      <w:r>
        <w:rPr>
          <w:rFonts w:eastAsia="仿宋_GB2312"/>
          <w:kern w:val="0"/>
          <w:sz w:val="32"/>
          <w:szCs w:val="32"/>
        </w:rPr>
        <w:t>草原禁牧区范围</w:t>
      </w:r>
      <w:r>
        <w:rPr>
          <w:rFonts w:hint="eastAsia" w:eastAsia="仿宋_GB2312"/>
          <w:kern w:val="0"/>
          <w:sz w:val="32"/>
          <w:szCs w:val="32"/>
        </w:rPr>
        <w:t>，</w:t>
      </w:r>
      <w:r>
        <w:rPr>
          <w:rFonts w:eastAsia="仿宋_GB2312"/>
          <w:kern w:val="0"/>
          <w:sz w:val="32"/>
          <w:szCs w:val="32"/>
        </w:rPr>
        <w:t>保障区域性农畜产品骨干冷链物流基地等现代农业农村建设工程用地需求。推动巴彦淖尔农业高新技术产业示范区建设，保障</w:t>
      </w:r>
      <w:r>
        <w:rPr>
          <w:rFonts w:hint="eastAsia" w:eastAsia="仿宋_GB2312"/>
          <w:kern w:val="0"/>
          <w:sz w:val="32"/>
          <w:szCs w:val="32"/>
        </w:rPr>
        <w:t>“十四五”期间国家重要农畜产品加工基地</w:t>
      </w:r>
      <w:r>
        <w:rPr>
          <w:rFonts w:eastAsia="仿宋_GB2312"/>
          <w:kern w:val="0"/>
          <w:sz w:val="32"/>
          <w:szCs w:val="32"/>
        </w:rPr>
        <w:t>建设用地需求。</w:t>
      </w:r>
    </w:p>
    <w:p w14:paraId="7DDA9B23">
      <w:pPr>
        <w:spacing w:line="600" w:lineRule="exact"/>
        <w:ind w:firstLine="640" w:firstLineChars="200"/>
        <w:rPr>
          <w:rFonts w:eastAsia="楷体_GB2312"/>
          <w:bCs/>
          <w:kern w:val="0"/>
          <w:sz w:val="32"/>
          <w:szCs w:val="32"/>
        </w:rPr>
      </w:pPr>
      <w:r>
        <w:rPr>
          <w:rFonts w:eastAsia="楷体_GB2312"/>
          <w:bCs/>
          <w:kern w:val="0"/>
          <w:sz w:val="32"/>
          <w:szCs w:val="32"/>
        </w:rPr>
        <w:t>推动城镇建设用地提质增效。</w:t>
      </w:r>
      <w:r>
        <w:rPr>
          <w:rFonts w:eastAsia="仿宋_GB2312"/>
          <w:kern w:val="0"/>
          <w:sz w:val="32"/>
          <w:szCs w:val="32"/>
        </w:rPr>
        <w:t>在科学划定城镇开发边界的基础上，推动城镇发展由外延扩张向内涵提升转变，优化城镇生产、生活、生态布局形态和功能结构，提高城镇建设用地节约集约利用水平，保障国家和自治区</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重大项目落地。</w:t>
      </w:r>
    </w:p>
    <w:p w14:paraId="5E494276">
      <w:pPr>
        <w:spacing w:line="600" w:lineRule="exact"/>
        <w:ind w:firstLine="640" w:firstLineChars="200"/>
        <w:rPr>
          <w:rFonts w:eastAsia="仿宋_GB2312"/>
          <w:kern w:val="0"/>
          <w:sz w:val="32"/>
          <w:szCs w:val="32"/>
        </w:rPr>
      </w:pPr>
      <w:r>
        <w:rPr>
          <w:rFonts w:eastAsia="楷体_GB2312"/>
          <w:bCs/>
          <w:kern w:val="0"/>
          <w:sz w:val="32"/>
          <w:szCs w:val="32"/>
        </w:rPr>
        <w:t>保障</w:t>
      </w:r>
      <w:bookmarkStart w:id="328" w:name="_Hlk58660301"/>
      <w:r>
        <w:rPr>
          <w:rFonts w:eastAsia="楷体_GB2312"/>
          <w:bCs/>
          <w:kern w:val="0"/>
          <w:sz w:val="32"/>
          <w:szCs w:val="32"/>
        </w:rPr>
        <w:t>交通基础设施</w:t>
      </w:r>
      <w:bookmarkEnd w:id="328"/>
      <w:r>
        <w:rPr>
          <w:rFonts w:eastAsia="楷体_GB2312"/>
          <w:bCs/>
          <w:kern w:val="0"/>
          <w:sz w:val="32"/>
          <w:szCs w:val="32"/>
        </w:rPr>
        <w:t>和物流枢纽用地。</w:t>
      </w:r>
      <w:r>
        <w:rPr>
          <w:rFonts w:eastAsia="仿宋_GB2312"/>
          <w:kern w:val="0"/>
          <w:sz w:val="32"/>
          <w:szCs w:val="32"/>
        </w:rPr>
        <w:t>保障国家</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规划确定的酒泉至额济纳铁路、沿边公路G331线等战略骨干通道，包头至银川等高速铁路，临河至哈密铁路临河至额济纳段扩能改造工程</w:t>
      </w:r>
      <w:r>
        <w:rPr>
          <w:rFonts w:hint="eastAsia" w:eastAsia="仿宋_GB2312"/>
          <w:kern w:val="0"/>
          <w:sz w:val="32"/>
          <w:szCs w:val="32"/>
        </w:rPr>
        <w:t>，</w:t>
      </w:r>
      <w:r>
        <w:rPr>
          <w:rFonts w:eastAsia="仿宋_GB2312"/>
          <w:kern w:val="0"/>
          <w:sz w:val="32"/>
          <w:szCs w:val="32"/>
        </w:rPr>
        <w:t>中欧班列运输通道，国家物流枢纽，邮政国际寄递中心建设等综合交通和物流枢纽建设工程用地需求。保障</w:t>
      </w:r>
      <w:r>
        <w:rPr>
          <w:rFonts w:hint="eastAsia" w:eastAsia="仿宋_GB2312"/>
          <w:kern w:val="0"/>
          <w:sz w:val="32"/>
          <w:szCs w:val="32"/>
        </w:rPr>
        <w:t>内蒙古</w:t>
      </w:r>
      <w:r>
        <w:rPr>
          <w:rFonts w:eastAsia="仿宋_GB2312"/>
          <w:kern w:val="0"/>
          <w:sz w:val="32"/>
          <w:szCs w:val="32"/>
        </w:rPr>
        <w:t>自治区</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规划确定的高速铁路、普通铁路，高速公路、重点国省干道、沿边公路，重大、重点航空，综合交通枢纽等用地空间。</w:t>
      </w:r>
    </w:p>
    <w:p w14:paraId="39DB4017">
      <w:pPr>
        <w:spacing w:line="600" w:lineRule="exact"/>
        <w:ind w:firstLine="640" w:firstLineChars="200"/>
        <w:rPr>
          <w:rFonts w:eastAsia="仿宋_GB2312"/>
          <w:kern w:val="0"/>
          <w:sz w:val="32"/>
          <w:szCs w:val="32"/>
        </w:rPr>
      </w:pPr>
      <w:r>
        <w:rPr>
          <w:rFonts w:eastAsia="楷体_GB2312"/>
          <w:bCs/>
          <w:kern w:val="0"/>
          <w:sz w:val="32"/>
          <w:szCs w:val="32"/>
        </w:rPr>
        <w:t>推动能源基础设施建设。</w:t>
      </w:r>
      <w:r>
        <w:rPr>
          <w:rFonts w:eastAsia="仿宋_GB2312"/>
          <w:kern w:val="0"/>
          <w:sz w:val="32"/>
          <w:szCs w:val="32"/>
        </w:rPr>
        <w:t>推动国家</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规划确定的黄河上游和</w:t>
      </w:r>
      <w:r>
        <w:rPr>
          <w:rFonts w:hint="eastAsia" w:eastAsia="仿宋_GB2312"/>
          <w:kern w:val="0"/>
          <w:sz w:val="32"/>
          <w:szCs w:val="32"/>
        </w:rPr>
        <w:t>“</w:t>
      </w:r>
      <w:r>
        <w:rPr>
          <w:rFonts w:eastAsia="仿宋_GB2312"/>
          <w:kern w:val="0"/>
          <w:sz w:val="32"/>
          <w:szCs w:val="32"/>
        </w:rPr>
        <w:t>几</w:t>
      </w:r>
      <w:r>
        <w:rPr>
          <w:rFonts w:hint="eastAsia" w:eastAsia="仿宋_GB2312"/>
          <w:kern w:val="0"/>
          <w:sz w:val="32"/>
          <w:szCs w:val="32"/>
        </w:rPr>
        <w:t>”</w:t>
      </w:r>
      <w:r>
        <w:rPr>
          <w:rFonts w:eastAsia="仿宋_GB2312"/>
          <w:kern w:val="0"/>
          <w:sz w:val="32"/>
          <w:szCs w:val="32"/>
        </w:rPr>
        <w:t>字弯大型清洁能源基地等国家现代能源体系建设工程，鄂尔多斯</w:t>
      </w:r>
      <w:r>
        <w:rPr>
          <w:rFonts w:hint="eastAsia" w:eastAsia="仿宋_GB2312"/>
          <w:kern w:val="0"/>
          <w:sz w:val="32"/>
          <w:szCs w:val="32"/>
        </w:rPr>
        <w:t>市</w:t>
      </w:r>
      <w:r>
        <w:rPr>
          <w:rFonts w:eastAsia="仿宋_GB2312"/>
          <w:kern w:val="0"/>
          <w:sz w:val="32"/>
          <w:szCs w:val="32"/>
        </w:rPr>
        <w:t>油气勘探开发、煤制油气战略基地等国家经济安全保障工程建设。推动</w:t>
      </w:r>
      <w:r>
        <w:rPr>
          <w:rFonts w:hint="eastAsia" w:eastAsia="仿宋_GB2312"/>
          <w:kern w:val="0"/>
          <w:sz w:val="32"/>
          <w:szCs w:val="32"/>
        </w:rPr>
        <w:t>内蒙古</w:t>
      </w:r>
      <w:r>
        <w:rPr>
          <w:rFonts w:eastAsia="仿宋_GB2312"/>
          <w:kern w:val="0"/>
          <w:sz w:val="32"/>
          <w:szCs w:val="32"/>
        </w:rPr>
        <w:t>自治区</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规划确定的能源基础设施建设工程、煤炭绿色开发利用工程、新能源产业集群等能源和战略资源基地建设。</w:t>
      </w:r>
    </w:p>
    <w:p w14:paraId="2DA5A513">
      <w:pPr>
        <w:spacing w:line="600" w:lineRule="exact"/>
        <w:ind w:firstLine="640" w:firstLineChars="200"/>
        <w:rPr>
          <w:rFonts w:eastAsia="仿宋_GB2312"/>
          <w:kern w:val="0"/>
          <w:sz w:val="32"/>
          <w:szCs w:val="32"/>
        </w:rPr>
      </w:pPr>
      <w:r>
        <w:rPr>
          <w:rFonts w:eastAsia="楷体_GB2312"/>
          <w:bCs/>
          <w:kern w:val="0"/>
          <w:sz w:val="32"/>
          <w:szCs w:val="32"/>
        </w:rPr>
        <w:t>合理安排水利基础设施建设用地。</w:t>
      </w:r>
      <w:r>
        <w:rPr>
          <w:rFonts w:eastAsia="仿宋_GB2312"/>
          <w:kern w:val="0"/>
          <w:sz w:val="32"/>
          <w:szCs w:val="32"/>
        </w:rPr>
        <w:t>预留国家</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规划确定的河套大型灌区续建配套和现代化改造供水灌溉工程、南水北调西线工程、黄河干流河道和滩区综合治理工程等国家水网骨干工程建设用地空间。保障</w:t>
      </w:r>
      <w:r>
        <w:rPr>
          <w:rFonts w:hint="eastAsia" w:eastAsia="仿宋_GB2312"/>
          <w:kern w:val="0"/>
          <w:sz w:val="32"/>
          <w:szCs w:val="32"/>
        </w:rPr>
        <w:t>内蒙古</w:t>
      </w:r>
      <w:r>
        <w:rPr>
          <w:rFonts w:eastAsia="仿宋_GB2312"/>
          <w:kern w:val="0"/>
          <w:sz w:val="32"/>
          <w:szCs w:val="32"/>
        </w:rPr>
        <w:t>自治区</w:t>
      </w:r>
      <w:r>
        <w:rPr>
          <w:rFonts w:hint="eastAsia" w:eastAsia="仿宋_GB2312"/>
          <w:kern w:val="0"/>
          <w:sz w:val="32"/>
          <w:szCs w:val="32"/>
        </w:rPr>
        <w:t>“</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规划确定的重点水利工程建设用地空间。</w:t>
      </w:r>
    </w:p>
    <w:p w14:paraId="5938DC1A">
      <w:pPr>
        <w:spacing w:line="600" w:lineRule="exact"/>
        <w:ind w:firstLine="640" w:firstLineChars="200"/>
        <w:rPr>
          <w:rFonts w:eastAsia="仿宋_GB2312"/>
          <w:kern w:val="0"/>
          <w:sz w:val="32"/>
          <w:szCs w:val="32"/>
        </w:rPr>
      </w:pPr>
      <w:r>
        <w:rPr>
          <w:rFonts w:eastAsia="楷体_GB2312"/>
          <w:bCs/>
          <w:kern w:val="0"/>
          <w:sz w:val="32"/>
          <w:szCs w:val="32"/>
        </w:rPr>
        <w:t>支持口岸扩能改造建设。</w:t>
      </w:r>
      <w:r>
        <w:rPr>
          <w:rFonts w:eastAsia="仿宋_GB2312"/>
          <w:kern w:val="0"/>
          <w:sz w:val="32"/>
          <w:szCs w:val="32"/>
        </w:rPr>
        <w:t>为建设现代化口岸提供空间保障，优先安排满洲里、二连浩特综合枢纽口岸和甘其毛都、策克重点专业口岸扩能改造建设用地，提升满洲里等边境城镇和口岸承载能力，打造智慧口岸和跨境电子商务，保障边境地区口岸发展用地需求。</w:t>
      </w:r>
    </w:p>
    <w:p w14:paraId="21381C17">
      <w:pPr>
        <w:spacing w:line="600" w:lineRule="exact"/>
        <w:ind w:firstLine="640" w:firstLineChars="200"/>
        <w:rPr>
          <w:rFonts w:eastAsia="方正小标宋"/>
          <w:sz w:val="40"/>
          <w:szCs w:val="32"/>
        </w:rPr>
      </w:pPr>
      <w:r>
        <w:rPr>
          <w:rFonts w:eastAsia="楷体_GB2312"/>
          <w:bCs/>
          <w:kern w:val="0"/>
          <w:sz w:val="32"/>
          <w:szCs w:val="32"/>
        </w:rPr>
        <w:t>保障黄河流域高质量发展用地。</w:t>
      </w:r>
      <w:r>
        <w:rPr>
          <w:rFonts w:eastAsia="仿宋_GB2312"/>
          <w:kern w:val="0"/>
          <w:sz w:val="32"/>
          <w:szCs w:val="32"/>
        </w:rPr>
        <w:t>全面落实黄河流域生态保护和高质量发展战略，保障黄河文化旅游带、黄河文化遗产系统保护工程、黄河流域生态保护和高质量发展项目建设用地空间。</w:t>
      </w:r>
      <w:bookmarkEnd w:id="258"/>
    </w:p>
    <w:p w14:paraId="3C311D2D">
      <w:pPr>
        <w:spacing w:after="312" w:afterLines="100"/>
        <w:jc w:val="center"/>
        <w:outlineLvl w:val="0"/>
        <w:rPr>
          <w:rFonts w:hint="eastAsia" w:ascii="方正小标宋简体" w:eastAsia="方正小标宋简体"/>
          <w:sz w:val="36"/>
          <w:szCs w:val="32"/>
        </w:rPr>
      </w:pPr>
      <w:r>
        <w:rPr>
          <w:rFonts w:eastAsia="方正小标宋_GBK"/>
          <w:sz w:val="36"/>
          <w:szCs w:val="32"/>
        </w:rPr>
        <w:br w:type="page"/>
      </w:r>
      <w:bookmarkStart w:id="329" w:name="_Toc160715680"/>
      <w:bookmarkStart w:id="330" w:name="_Toc155861102"/>
      <w:r>
        <w:rPr>
          <w:rFonts w:hint="eastAsia" w:ascii="方正小标宋简体" w:eastAsia="方正小标宋简体"/>
          <w:sz w:val="36"/>
          <w:szCs w:val="32"/>
        </w:rPr>
        <w:t>第十三章 规划实施</w:t>
      </w:r>
      <w:bookmarkEnd w:id="329"/>
      <w:bookmarkEnd w:id="330"/>
    </w:p>
    <w:p w14:paraId="2FF38523">
      <w:pPr>
        <w:spacing w:line="600" w:lineRule="exact"/>
        <w:ind w:firstLine="640" w:firstLineChars="200"/>
        <w:rPr>
          <w:rFonts w:eastAsia="仿宋_GB2312"/>
          <w:kern w:val="0"/>
          <w:sz w:val="32"/>
          <w:szCs w:val="32"/>
        </w:rPr>
      </w:pPr>
      <w:r>
        <w:rPr>
          <w:rFonts w:eastAsia="仿宋_GB2312"/>
          <w:kern w:val="0"/>
          <w:sz w:val="32"/>
          <w:szCs w:val="32"/>
        </w:rPr>
        <w:t>以实现国土空间治理能力现代化为目标，加强国土空间规划的组织协调、指导和管控，落实</w:t>
      </w:r>
      <w:r>
        <w:rPr>
          <w:rFonts w:hint="eastAsia" w:eastAsia="仿宋_GB2312"/>
          <w:kern w:val="0"/>
          <w:sz w:val="32"/>
          <w:szCs w:val="32"/>
        </w:rPr>
        <w:t>地方</w:t>
      </w:r>
      <w:r>
        <w:rPr>
          <w:rFonts w:eastAsia="仿宋_GB2312"/>
          <w:kern w:val="0"/>
          <w:sz w:val="32"/>
          <w:szCs w:val="32"/>
        </w:rPr>
        <w:t>各级党委、政府和部门责任，畅通公众参与渠道，健全规划法规制度和标准体系，建设国土空间规划</w:t>
      </w:r>
      <w:r>
        <w:rPr>
          <w:rFonts w:hint="eastAsia" w:eastAsia="仿宋_GB2312"/>
          <w:kern w:val="0"/>
          <w:sz w:val="32"/>
          <w:szCs w:val="32"/>
        </w:rPr>
        <w:t>“</w:t>
      </w:r>
      <w:r>
        <w:rPr>
          <w:rFonts w:eastAsia="仿宋_GB2312"/>
          <w:kern w:val="0"/>
          <w:sz w:val="32"/>
          <w:szCs w:val="32"/>
        </w:rPr>
        <w:t>一张图</w:t>
      </w:r>
      <w:r>
        <w:rPr>
          <w:rFonts w:hint="eastAsia" w:eastAsia="仿宋_GB2312"/>
          <w:kern w:val="0"/>
          <w:sz w:val="32"/>
          <w:szCs w:val="32"/>
        </w:rPr>
        <w:t>”</w:t>
      </w:r>
      <w:r>
        <w:rPr>
          <w:rFonts w:eastAsia="仿宋_GB2312"/>
          <w:kern w:val="0"/>
          <w:sz w:val="32"/>
          <w:szCs w:val="32"/>
        </w:rPr>
        <w:t>，保障规划有效实施。</w:t>
      </w:r>
    </w:p>
    <w:p w14:paraId="24F366D2">
      <w:pPr>
        <w:pStyle w:val="3"/>
        <w:spacing w:before="156" w:beforeLines="50" w:after="156" w:afterLines="50" w:line="600" w:lineRule="exact"/>
        <w:rPr>
          <w:rFonts w:ascii="Times New Roman" w:hAnsi="Times New Roman"/>
          <w:b w:val="0"/>
          <w:bCs w:val="0"/>
        </w:rPr>
      </w:pPr>
      <w:bookmarkStart w:id="331" w:name="_Toc155861103"/>
      <w:bookmarkStart w:id="332" w:name="_Toc160715681"/>
      <w:r>
        <w:rPr>
          <w:rFonts w:ascii="Times New Roman" w:hAnsi="Times New Roman"/>
          <w:b w:val="0"/>
          <w:bCs w:val="0"/>
        </w:rPr>
        <w:t>第一节 加强党的领导</w:t>
      </w:r>
      <w:bookmarkEnd w:id="331"/>
      <w:bookmarkEnd w:id="332"/>
    </w:p>
    <w:p w14:paraId="30C3F99E">
      <w:pPr>
        <w:spacing w:line="600" w:lineRule="exact"/>
        <w:ind w:firstLine="640" w:firstLineChars="200"/>
        <w:rPr>
          <w:rFonts w:eastAsia="仿宋_GB2312"/>
          <w:kern w:val="0"/>
          <w:sz w:val="32"/>
          <w:szCs w:val="32"/>
        </w:rPr>
      </w:pPr>
      <w:r>
        <w:rPr>
          <w:rFonts w:eastAsia="楷体_GB2312"/>
          <w:bCs/>
          <w:kern w:val="0"/>
          <w:sz w:val="32"/>
          <w:szCs w:val="32"/>
        </w:rPr>
        <w:t>坚持党的领导。</w:t>
      </w:r>
      <w:r>
        <w:rPr>
          <w:rFonts w:eastAsia="仿宋_GB2312"/>
          <w:kern w:val="0"/>
          <w:sz w:val="32"/>
          <w:szCs w:val="32"/>
        </w:rPr>
        <w:t>深入贯彻习近平新时代中国特色社会主义思想，全面贯彻落实党的二十大精神，深刻领会</w:t>
      </w:r>
      <w:r>
        <w:rPr>
          <w:rFonts w:hint="eastAsia" w:eastAsia="仿宋_GB2312"/>
          <w:kern w:val="0"/>
          <w:sz w:val="32"/>
          <w:szCs w:val="32"/>
        </w:rPr>
        <w:t>“</w:t>
      </w:r>
      <w:r>
        <w:rPr>
          <w:rFonts w:eastAsia="仿宋_GB2312"/>
          <w:kern w:val="0"/>
          <w:sz w:val="32"/>
          <w:szCs w:val="32"/>
        </w:rPr>
        <w:t>两个确立</w:t>
      </w:r>
      <w:r>
        <w:rPr>
          <w:rFonts w:hint="eastAsia" w:eastAsia="仿宋_GB2312"/>
          <w:kern w:val="0"/>
          <w:sz w:val="32"/>
          <w:szCs w:val="32"/>
        </w:rPr>
        <w:t>”</w:t>
      </w:r>
      <w:r>
        <w:rPr>
          <w:rFonts w:eastAsia="仿宋_GB2312"/>
          <w:kern w:val="0"/>
          <w:sz w:val="32"/>
          <w:szCs w:val="32"/>
        </w:rPr>
        <w:t>的决定性意义，增强</w:t>
      </w:r>
      <w:r>
        <w:rPr>
          <w:rFonts w:hint="eastAsia" w:eastAsia="仿宋_GB2312"/>
          <w:kern w:val="0"/>
          <w:sz w:val="32"/>
          <w:szCs w:val="32"/>
        </w:rPr>
        <w:t>“</w:t>
      </w:r>
      <w:r>
        <w:rPr>
          <w:rFonts w:eastAsia="仿宋_GB2312"/>
          <w:kern w:val="0"/>
          <w:sz w:val="32"/>
          <w:szCs w:val="32"/>
        </w:rPr>
        <w:t>四个意识</w:t>
      </w:r>
      <w:r>
        <w:rPr>
          <w:rFonts w:hint="eastAsia" w:eastAsia="仿宋_GB2312"/>
          <w:kern w:val="0"/>
          <w:sz w:val="32"/>
          <w:szCs w:val="32"/>
        </w:rPr>
        <w:t>”</w:t>
      </w:r>
      <w:r>
        <w:rPr>
          <w:rFonts w:eastAsia="仿宋_GB2312"/>
          <w:kern w:val="0"/>
          <w:sz w:val="32"/>
          <w:szCs w:val="32"/>
        </w:rPr>
        <w:t>、坚定</w:t>
      </w:r>
      <w:r>
        <w:rPr>
          <w:rFonts w:hint="eastAsia" w:eastAsia="仿宋_GB2312"/>
          <w:kern w:val="0"/>
          <w:sz w:val="32"/>
          <w:szCs w:val="32"/>
        </w:rPr>
        <w:t>“</w:t>
      </w:r>
      <w:r>
        <w:rPr>
          <w:rFonts w:eastAsia="仿宋_GB2312"/>
          <w:kern w:val="0"/>
          <w:sz w:val="32"/>
          <w:szCs w:val="32"/>
        </w:rPr>
        <w:t>四个自信</w:t>
      </w:r>
      <w:r>
        <w:rPr>
          <w:rFonts w:hint="eastAsia" w:eastAsia="仿宋_GB2312"/>
          <w:kern w:val="0"/>
          <w:sz w:val="32"/>
          <w:szCs w:val="32"/>
        </w:rPr>
        <w:t>”</w:t>
      </w:r>
      <w:r>
        <w:rPr>
          <w:rFonts w:eastAsia="仿宋_GB2312"/>
          <w:kern w:val="0"/>
          <w:sz w:val="32"/>
          <w:szCs w:val="32"/>
        </w:rPr>
        <w:t>、做到</w:t>
      </w:r>
      <w:r>
        <w:rPr>
          <w:rFonts w:hint="eastAsia" w:eastAsia="仿宋_GB2312"/>
          <w:kern w:val="0"/>
          <w:sz w:val="32"/>
          <w:szCs w:val="32"/>
        </w:rPr>
        <w:t>“</w:t>
      </w:r>
      <w:r>
        <w:rPr>
          <w:rFonts w:eastAsia="仿宋_GB2312"/>
          <w:kern w:val="0"/>
          <w:sz w:val="32"/>
          <w:szCs w:val="32"/>
        </w:rPr>
        <w:t>两个维护</w:t>
      </w:r>
      <w:r>
        <w:rPr>
          <w:rFonts w:hint="eastAsia" w:eastAsia="仿宋_GB2312"/>
          <w:kern w:val="0"/>
          <w:sz w:val="32"/>
          <w:szCs w:val="32"/>
        </w:rPr>
        <w:t>”</w:t>
      </w:r>
      <w:r>
        <w:rPr>
          <w:rFonts w:eastAsia="仿宋_GB2312"/>
          <w:kern w:val="0"/>
          <w:sz w:val="32"/>
          <w:szCs w:val="32"/>
        </w:rPr>
        <w:t>，不断提高政治判断力、政治领悟力、政治执行力，充分发挥党总揽全局、协调各方的领导核心作用，把党的领导贯彻到国土空间规划编制实施全过程各领域各环节。</w:t>
      </w:r>
    </w:p>
    <w:p w14:paraId="25D8FD10">
      <w:pPr>
        <w:spacing w:line="600" w:lineRule="exact"/>
        <w:ind w:firstLine="640" w:firstLineChars="200"/>
        <w:rPr>
          <w:rFonts w:eastAsia="仿宋_GB2312"/>
          <w:kern w:val="0"/>
          <w:sz w:val="32"/>
          <w:szCs w:val="32"/>
        </w:rPr>
      </w:pPr>
      <w:r>
        <w:rPr>
          <w:rFonts w:eastAsia="楷体_GB2312"/>
          <w:bCs/>
          <w:kern w:val="0"/>
          <w:sz w:val="32"/>
          <w:szCs w:val="32"/>
        </w:rPr>
        <w:t>落实规划主体责任。</w:t>
      </w:r>
      <w:r>
        <w:rPr>
          <w:rFonts w:eastAsia="仿宋_GB2312"/>
          <w:kern w:val="0"/>
          <w:sz w:val="32"/>
          <w:szCs w:val="32"/>
        </w:rPr>
        <w:t>以坚持和加强党的全面领导为统领，落实</w:t>
      </w:r>
      <w:r>
        <w:rPr>
          <w:rFonts w:hint="eastAsia" w:eastAsia="仿宋_GB2312"/>
          <w:kern w:val="0"/>
          <w:sz w:val="32"/>
          <w:szCs w:val="32"/>
        </w:rPr>
        <w:t>地方</w:t>
      </w:r>
      <w:r>
        <w:rPr>
          <w:rFonts w:eastAsia="仿宋_GB2312"/>
          <w:kern w:val="0"/>
          <w:sz w:val="32"/>
          <w:szCs w:val="32"/>
        </w:rPr>
        <w:t>各级党委</w:t>
      </w:r>
      <w:r>
        <w:rPr>
          <w:rFonts w:hint="eastAsia" w:eastAsia="仿宋_GB2312"/>
          <w:kern w:val="0"/>
          <w:sz w:val="32"/>
          <w:szCs w:val="32"/>
        </w:rPr>
        <w:t>、</w:t>
      </w:r>
      <w:r>
        <w:rPr>
          <w:rFonts w:eastAsia="仿宋_GB2312"/>
          <w:kern w:val="0"/>
          <w:sz w:val="32"/>
          <w:szCs w:val="32"/>
        </w:rPr>
        <w:t>政府组织实施本地区国土空间规划的主体责任，坚持</w:t>
      </w:r>
      <w:r>
        <w:rPr>
          <w:rFonts w:hint="eastAsia" w:eastAsia="仿宋_GB2312"/>
          <w:kern w:val="0"/>
          <w:sz w:val="32"/>
          <w:szCs w:val="32"/>
        </w:rPr>
        <w:t>“</w:t>
      </w:r>
      <w:r>
        <w:rPr>
          <w:rFonts w:eastAsia="仿宋_GB2312"/>
          <w:kern w:val="0"/>
          <w:sz w:val="32"/>
          <w:szCs w:val="32"/>
        </w:rPr>
        <w:t>多规合一</w:t>
      </w:r>
      <w:r>
        <w:rPr>
          <w:rFonts w:hint="eastAsia" w:eastAsia="仿宋_GB2312"/>
          <w:kern w:val="0"/>
          <w:sz w:val="32"/>
          <w:szCs w:val="32"/>
        </w:rPr>
        <w:t>”</w:t>
      </w:r>
      <w:r>
        <w:rPr>
          <w:rFonts w:eastAsia="仿宋_GB2312"/>
          <w:kern w:val="0"/>
          <w:sz w:val="32"/>
          <w:szCs w:val="32"/>
        </w:rPr>
        <w:t>，强化规划严肃性，规划一经批准，任何部门和个人不得随意修改、违规变更。加强规划目标、指标、重点任务、重大工程的分解和落实，将规划分期目标和重点任务纳入国民经济和社会发展规划及年度计划，确保规划目标顺利实现。</w:t>
      </w:r>
      <w:r>
        <w:rPr>
          <w:rFonts w:hint="eastAsia" w:eastAsia="仿宋_GB2312"/>
          <w:kern w:val="0"/>
          <w:sz w:val="32"/>
          <w:szCs w:val="32"/>
        </w:rPr>
        <w:t>全区</w:t>
      </w:r>
      <w:r>
        <w:rPr>
          <w:rFonts w:eastAsia="仿宋_GB2312"/>
          <w:kern w:val="0"/>
          <w:sz w:val="32"/>
          <w:szCs w:val="32"/>
        </w:rPr>
        <w:t>各地区国土空间规划执行情况纳入领导干部自然资源资产离任审计。</w:t>
      </w:r>
    </w:p>
    <w:p w14:paraId="4A603F0E">
      <w:pPr>
        <w:spacing w:line="600" w:lineRule="exact"/>
        <w:ind w:firstLine="640" w:firstLineChars="200"/>
        <w:rPr>
          <w:rFonts w:eastAsia="仿宋_GB2312"/>
          <w:kern w:val="0"/>
          <w:sz w:val="32"/>
          <w:szCs w:val="32"/>
        </w:rPr>
      </w:pPr>
      <w:r>
        <w:rPr>
          <w:rFonts w:eastAsia="楷体_GB2312"/>
          <w:bCs/>
          <w:kern w:val="0"/>
          <w:sz w:val="32"/>
          <w:szCs w:val="32"/>
        </w:rPr>
        <w:t>加强部门协商机制。</w:t>
      </w:r>
      <w:r>
        <w:rPr>
          <w:rFonts w:eastAsia="仿宋_GB2312"/>
          <w:kern w:val="0"/>
          <w:sz w:val="32"/>
          <w:szCs w:val="32"/>
        </w:rPr>
        <w:t>加强</w:t>
      </w:r>
      <w:r>
        <w:rPr>
          <w:rFonts w:hint="eastAsia" w:eastAsia="仿宋_GB2312"/>
          <w:kern w:val="0"/>
          <w:sz w:val="32"/>
          <w:szCs w:val="32"/>
        </w:rPr>
        <w:t>地方</w:t>
      </w:r>
      <w:r>
        <w:rPr>
          <w:rFonts w:eastAsia="仿宋_GB2312"/>
          <w:kern w:val="0"/>
          <w:sz w:val="32"/>
          <w:szCs w:val="32"/>
        </w:rPr>
        <w:t>部门和地区间协同，建立国土空间规划及相关专项规划制定和实施的部门沟通协商机制，定期召开部门联席会议，切实履行职责，研究制定重大政策，协调解决国土保护、开发、利用和修复中的重大问题，确保国家、自治区重大决策部署落实到位，共同推进规划实施。地方各级国土空间规划编制过程中要充分听取相关部门意见，兼顾军事设施保护的需要，并按照规定书面征求有关军事机关的意见。</w:t>
      </w:r>
    </w:p>
    <w:p w14:paraId="2D420D24">
      <w:pPr>
        <w:pStyle w:val="3"/>
        <w:spacing w:before="156" w:beforeLines="50" w:after="156" w:afterLines="50" w:line="600" w:lineRule="exact"/>
        <w:rPr>
          <w:rFonts w:ascii="Times New Roman" w:hAnsi="Times New Roman"/>
          <w:b w:val="0"/>
          <w:bCs w:val="0"/>
        </w:rPr>
      </w:pPr>
      <w:bookmarkStart w:id="333" w:name="_Toc160715682"/>
      <w:bookmarkStart w:id="334" w:name="_Toc155861104"/>
      <w:r>
        <w:rPr>
          <w:rFonts w:ascii="Times New Roman" w:hAnsi="Times New Roman"/>
          <w:b w:val="0"/>
          <w:bCs w:val="0"/>
        </w:rPr>
        <w:t>第二节 制定配套政策</w:t>
      </w:r>
      <w:bookmarkEnd w:id="333"/>
      <w:bookmarkEnd w:id="334"/>
    </w:p>
    <w:p w14:paraId="4A76ADC5">
      <w:pPr>
        <w:spacing w:line="600" w:lineRule="exact"/>
        <w:ind w:firstLine="640" w:firstLineChars="200"/>
        <w:rPr>
          <w:rFonts w:eastAsia="仿宋_GB2312"/>
          <w:kern w:val="0"/>
          <w:sz w:val="32"/>
          <w:szCs w:val="32"/>
        </w:rPr>
      </w:pPr>
      <w:r>
        <w:rPr>
          <w:rFonts w:eastAsia="楷体_GB2312"/>
          <w:bCs/>
          <w:kern w:val="0"/>
          <w:sz w:val="32"/>
          <w:szCs w:val="32"/>
        </w:rPr>
        <w:t>制定分区管理的土地政策。</w:t>
      </w:r>
      <w:r>
        <w:rPr>
          <w:rFonts w:eastAsia="仿宋_GB2312"/>
          <w:kern w:val="0"/>
          <w:sz w:val="32"/>
          <w:szCs w:val="32"/>
        </w:rPr>
        <w:t>强化统一行使全民所有自然资源资产所有者职责，统一行使所有国土空间</w:t>
      </w:r>
      <w:r>
        <w:rPr>
          <w:rFonts w:hint="eastAsia" w:eastAsia="仿宋_GB2312"/>
          <w:kern w:val="0"/>
          <w:sz w:val="32"/>
          <w:szCs w:val="32"/>
        </w:rPr>
        <w:t>用途</w:t>
      </w:r>
      <w:r>
        <w:rPr>
          <w:rFonts w:eastAsia="仿宋_GB2312"/>
          <w:kern w:val="0"/>
          <w:sz w:val="32"/>
          <w:szCs w:val="32"/>
        </w:rPr>
        <w:t>管制和生态保护修复职责，依据国土空间主体功能定位，合理优化行政区划，实行差别化的自然资源管理政策，科学确定各类用地规模。优先保障基础设施、战略性新兴产业等重点项目用地需求。控制农产品主产区建设用地规模，除重大交通水利基础设施、民生基础设施，生态保护设施建设需求外，严禁在重点生态功能区内改变生态用地性质，严禁在生态保护红线内非法开垦耕地。</w:t>
      </w:r>
    </w:p>
    <w:p w14:paraId="5B5F22CC">
      <w:pPr>
        <w:spacing w:line="600" w:lineRule="exact"/>
        <w:ind w:firstLine="640" w:firstLineChars="200"/>
        <w:rPr>
          <w:rFonts w:eastAsia="仿宋_GB2312"/>
          <w:kern w:val="0"/>
          <w:sz w:val="32"/>
          <w:szCs w:val="32"/>
        </w:rPr>
      </w:pPr>
      <w:r>
        <w:rPr>
          <w:rFonts w:eastAsia="楷体_GB2312"/>
          <w:bCs/>
          <w:kern w:val="0"/>
          <w:sz w:val="32"/>
          <w:szCs w:val="32"/>
        </w:rPr>
        <w:t>落实国家产业调整指导目录。</w:t>
      </w:r>
      <w:r>
        <w:rPr>
          <w:rFonts w:eastAsia="仿宋_GB2312"/>
          <w:kern w:val="0"/>
          <w:sz w:val="32"/>
          <w:szCs w:val="32"/>
        </w:rPr>
        <w:t>贯彻落实国家产业政策，各部门组织编制专项规划、布局重大项目，必须符合各区域的主体功能定位和发展方向，投资主管部门严格按照产业结构调整指导目录和国家重点生态功能区产业准入负面清单等进行项目审批、核准或备案。严禁审批淘汰类和限制类项目，制造业项目原则上布局在城市化地区。</w:t>
      </w:r>
    </w:p>
    <w:p w14:paraId="59389FC4">
      <w:pPr>
        <w:spacing w:line="600" w:lineRule="exact"/>
        <w:ind w:firstLine="640" w:firstLineChars="200"/>
        <w:rPr>
          <w:rFonts w:eastAsia="仿宋_GB2312"/>
          <w:kern w:val="0"/>
          <w:sz w:val="32"/>
          <w:szCs w:val="32"/>
        </w:rPr>
      </w:pPr>
      <w:r>
        <w:rPr>
          <w:rFonts w:eastAsia="楷体_GB2312"/>
          <w:bCs/>
          <w:kern w:val="0"/>
          <w:sz w:val="32"/>
          <w:szCs w:val="32"/>
        </w:rPr>
        <w:t>严格产业市场准入和退出制度。</w:t>
      </w:r>
      <w:r>
        <w:rPr>
          <w:rFonts w:eastAsia="仿宋_GB2312"/>
          <w:kern w:val="0"/>
          <w:sz w:val="32"/>
          <w:szCs w:val="32"/>
        </w:rPr>
        <w:t>按照不同主体功能区的定位和发展方向，实行差别化的土地、环境保护、资源配置、价格、财税等政策，严格执行占地、耗能、耗水、资源回收率、资源综合利用率、工艺装备、</w:t>
      </w:r>
      <w:r>
        <w:rPr>
          <w:rFonts w:hint="eastAsia" w:eastAsia="仿宋_GB2312"/>
          <w:kern w:val="0"/>
          <w:sz w:val="32"/>
          <w:szCs w:val="32"/>
        </w:rPr>
        <w:t>废气废水废渣</w:t>
      </w:r>
      <w:r>
        <w:rPr>
          <w:rFonts w:eastAsia="仿宋_GB2312"/>
          <w:kern w:val="0"/>
          <w:sz w:val="32"/>
          <w:szCs w:val="32"/>
        </w:rPr>
        <w:t>排放和生态保护等强制性标准，布局和发展适宜产业。通过设备折旧补贴贷款担保、迁移补贴、用地调整、设置</w:t>
      </w:r>
      <w:r>
        <w:rPr>
          <w:rFonts w:hint="eastAsia" w:eastAsia="仿宋_GB2312"/>
          <w:kern w:val="0"/>
          <w:sz w:val="32"/>
          <w:szCs w:val="32"/>
        </w:rPr>
        <w:t>“</w:t>
      </w:r>
      <w:r>
        <w:rPr>
          <w:rFonts w:eastAsia="仿宋_GB2312"/>
          <w:kern w:val="0"/>
          <w:sz w:val="32"/>
          <w:szCs w:val="32"/>
        </w:rPr>
        <w:t>产业飞地</w:t>
      </w:r>
      <w:r>
        <w:rPr>
          <w:rFonts w:hint="eastAsia" w:eastAsia="仿宋_GB2312"/>
          <w:kern w:val="0"/>
          <w:sz w:val="32"/>
          <w:szCs w:val="32"/>
        </w:rPr>
        <w:t>”</w:t>
      </w:r>
      <w:r>
        <w:rPr>
          <w:rFonts w:eastAsia="仿宋_GB2312"/>
          <w:kern w:val="0"/>
          <w:sz w:val="32"/>
          <w:szCs w:val="32"/>
        </w:rPr>
        <w:t>等手段，建立畅通的产业退出和转移机制，转移或关闭不符合主体功能区发展方向的产业。</w:t>
      </w:r>
    </w:p>
    <w:p w14:paraId="600F81B7">
      <w:pPr>
        <w:spacing w:line="600" w:lineRule="exact"/>
        <w:ind w:firstLine="640" w:firstLineChars="200"/>
        <w:rPr>
          <w:rFonts w:eastAsia="仿宋_GB2312"/>
          <w:kern w:val="0"/>
          <w:sz w:val="32"/>
          <w:szCs w:val="32"/>
        </w:rPr>
      </w:pPr>
      <w:r>
        <w:rPr>
          <w:rFonts w:eastAsia="楷体_GB2312"/>
          <w:bCs/>
          <w:kern w:val="0"/>
          <w:sz w:val="32"/>
          <w:szCs w:val="32"/>
        </w:rPr>
        <w:t>制定人口迁入迁出的鼓励政策。</w:t>
      </w:r>
      <w:r>
        <w:rPr>
          <w:rFonts w:eastAsia="仿宋_GB2312"/>
          <w:kern w:val="0"/>
          <w:sz w:val="32"/>
          <w:szCs w:val="32"/>
        </w:rPr>
        <w:t>城市化地区域要加强人口集聚和吸纳能力建设，鼓励外来人口迁入和定居，逐步实现在城市有稳定职业和住所的流动人口本地化。提高中心城市和旗县中心城镇人口承载能力，引导人口向中心城市和中心城镇集聚。农产品主产区和重点生态功能区域要切实加强义务教育、职业教育与职业技能培训，增强劳动力跨区域转移就业的能力，以产业集中布局为依托，引导区域内人口向县城和中心镇集聚。构建经济社会政策及重大建设项目与人口发展政策之间的衔接协调机制，社会事业发展和重大建设项目的布局应充分考虑人口集聚、人口布局优化的需要，以及人口结构变动带来需求的变化。</w:t>
      </w:r>
    </w:p>
    <w:p w14:paraId="01EFABCA">
      <w:pPr>
        <w:spacing w:line="600" w:lineRule="exact"/>
        <w:ind w:firstLine="640" w:firstLineChars="200"/>
        <w:rPr>
          <w:sz w:val="22"/>
        </w:rPr>
      </w:pPr>
      <w:r>
        <w:rPr>
          <w:rFonts w:eastAsia="楷体_GB2312"/>
          <w:bCs/>
          <w:kern w:val="0"/>
          <w:sz w:val="32"/>
          <w:szCs w:val="32"/>
        </w:rPr>
        <w:t>强化主体功能区考核评价。</w:t>
      </w:r>
      <w:r>
        <w:rPr>
          <w:rFonts w:eastAsia="仿宋_GB2312"/>
          <w:kern w:val="0"/>
          <w:sz w:val="32"/>
          <w:szCs w:val="32"/>
        </w:rPr>
        <w:t>根据重点生态功能区、农产品主产区和城市化地区设置考核指标，重点生态功能区要健全生态保护优先的绩效考核评价机制，重点</w:t>
      </w:r>
      <w:r>
        <w:rPr>
          <w:rFonts w:hint="eastAsia" w:eastAsia="仿宋_GB2312"/>
          <w:kern w:val="0"/>
          <w:sz w:val="32"/>
          <w:szCs w:val="32"/>
        </w:rPr>
        <w:t>考核</w:t>
      </w:r>
      <w:r>
        <w:rPr>
          <w:rFonts w:eastAsia="仿宋_GB2312"/>
          <w:kern w:val="0"/>
          <w:sz w:val="32"/>
          <w:szCs w:val="32"/>
        </w:rPr>
        <w:t>生态空间规模质量、生态产品价值、产业准入负面清单执行等方面指标；农产品主产区要健全农业发展优先和提高农产品保障能力的绩效考核评价机制，重点考核农业空间规模质量、农业综合生产能力、农民收入、耕地质量、土壤环境治理等方面指标；城市化地区要健全工业化城镇化水平与质量并重、集约化发展优先的绩效考核评价机制，重点考核地区生产总值、吸纳人口、财政收入、要素集聚程度、城镇土地产出效率、常住人口基本公共服务均等化、资源环境承载能力状况等方面指标。</w:t>
      </w:r>
    </w:p>
    <w:p w14:paraId="365BBDC8">
      <w:pPr>
        <w:pStyle w:val="3"/>
        <w:spacing w:before="156" w:beforeLines="50" w:after="156" w:afterLines="50" w:line="600" w:lineRule="exact"/>
        <w:rPr>
          <w:rFonts w:ascii="Times New Roman" w:hAnsi="Times New Roman"/>
          <w:b w:val="0"/>
          <w:bCs w:val="0"/>
        </w:rPr>
      </w:pPr>
      <w:bookmarkStart w:id="335" w:name="_Toc160715683"/>
      <w:bookmarkStart w:id="336" w:name="_Toc155861105"/>
      <w:r>
        <w:rPr>
          <w:rFonts w:ascii="Times New Roman" w:hAnsi="Times New Roman"/>
          <w:b w:val="0"/>
          <w:bCs w:val="0"/>
        </w:rPr>
        <w:t>第三节 完善实施机制</w:t>
      </w:r>
      <w:bookmarkEnd w:id="335"/>
      <w:bookmarkEnd w:id="336"/>
    </w:p>
    <w:p w14:paraId="4B4F6139">
      <w:pPr>
        <w:spacing w:line="600" w:lineRule="exact"/>
        <w:ind w:firstLine="640" w:firstLineChars="200"/>
        <w:rPr>
          <w:rFonts w:hint="eastAsia" w:eastAsia="仿宋_GB2312"/>
          <w:kern w:val="0"/>
          <w:sz w:val="32"/>
          <w:szCs w:val="32"/>
        </w:rPr>
      </w:pPr>
      <w:r>
        <w:rPr>
          <w:rFonts w:eastAsia="楷体_GB2312"/>
          <w:bCs/>
          <w:kern w:val="0"/>
          <w:sz w:val="32"/>
          <w:szCs w:val="32"/>
        </w:rPr>
        <w:t>完善相关制度和标准。</w:t>
      </w:r>
      <w:r>
        <w:rPr>
          <w:rFonts w:eastAsia="仿宋_GB2312"/>
          <w:kern w:val="0"/>
          <w:sz w:val="32"/>
          <w:szCs w:val="32"/>
        </w:rPr>
        <w:t>研究制定</w:t>
      </w:r>
      <w:r>
        <w:rPr>
          <w:rFonts w:hint="eastAsia" w:eastAsia="仿宋_GB2312"/>
          <w:kern w:val="0"/>
          <w:sz w:val="32"/>
          <w:szCs w:val="32"/>
        </w:rPr>
        <w:t>内蒙古</w:t>
      </w:r>
      <w:r>
        <w:rPr>
          <w:rFonts w:eastAsia="仿宋_GB2312"/>
          <w:kern w:val="0"/>
          <w:sz w:val="32"/>
          <w:szCs w:val="32"/>
        </w:rPr>
        <w:t>自治区国土空间规划相关制度，出台三条控制线管理</w:t>
      </w:r>
      <w:r>
        <w:rPr>
          <w:rFonts w:hint="eastAsia" w:eastAsia="仿宋_GB2312"/>
          <w:kern w:val="0"/>
          <w:sz w:val="32"/>
          <w:szCs w:val="32"/>
        </w:rPr>
        <w:t>规定</w:t>
      </w:r>
      <w:r>
        <w:rPr>
          <w:rFonts w:eastAsia="仿宋_GB2312"/>
          <w:kern w:val="0"/>
          <w:sz w:val="32"/>
          <w:szCs w:val="32"/>
        </w:rPr>
        <w:t>、盟市及旗县（市、区）国土空间规划审查和</w:t>
      </w:r>
      <w:r>
        <w:rPr>
          <w:rFonts w:hint="eastAsia" w:eastAsia="仿宋_GB2312"/>
          <w:kern w:val="0"/>
          <w:sz w:val="32"/>
          <w:szCs w:val="32"/>
        </w:rPr>
        <w:t>报批</w:t>
      </w:r>
      <w:r>
        <w:rPr>
          <w:rFonts w:eastAsia="仿宋_GB2312"/>
          <w:kern w:val="0"/>
          <w:sz w:val="32"/>
          <w:szCs w:val="32"/>
        </w:rPr>
        <w:t>办法等，制定各级各类国土空间规划编制规程、技术标准和成果质量规范。建立国土空间相关专项规划统筹管理制度，编制专项规划目录清单，实施全过程管理。</w:t>
      </w:r>
    </w:p>
    <w:p w14:paraId="76BB0F77">
      <w:pPr>
        <w:spacing w:line="600" w:lineRule="exact"/>
        <w:ind w:firstLine="640" w:firstLineChars="200"/>
        <w:rPr>
          <w:rFonts w:eastAsia="仿宋_GB2312"/>
          <w:kern w:val="0"/>
          <w:sz w:val="32"/>
          <w:szCs w:val="32"/>
        </w:rPr>
      </w:pPr>
      <w:r>
        <w:rPr>
          <w:rFonts w:eastAsia="楷体_GB2312"/>
          <w:bCs/>
          <w:kern w:val="0"/>
          <w:sz w:val="32"/>
          <w:szCs w:val="32"/>
        </w:rPr>
        <w:t>统一国土空间用途管制。</w:t>
      </w:r>
      <w:r>
        <w:rPr>
          <w:rFonts w:eastAsia="仿宋_GB2312"/>
          <w:kern w:val="0"/>
          <w:sz w:val="32"/>
          <w:szCs w:val="32"/>
        </w:rPr>
        <w:t>建立健全全域、全要素、立体化国土空间用途管制制度，</w:t>
      </w:r>
      <w:r>
        <w:rPr>
          <w:rFonts w:hint="eastAsia" w:eastAsia="仿宋_GB2312"/>
          <w:kern w:val="0"/>
          <w:sz w:val="32"/>
          <w:szCs w:val="32"/>
        </w:rPr>
        <w:t>优化</w:t>
      </w:r>
      <w:r>
        <w:rPr>
          <w:rFonts w:eastAsia="仿宋_GB2312"/>
          <w:kern w:val="0"/>
          <w:sz w:val="32"/>
          <w:szCs w:val="32"/>
        </w:rPr>
        <w:t>审批程序，提高审批效率。依据国土空间规划，统筹经济社会发展和节约集约用地状况等，科学合理编制土地利用年度计划。</w:t>
      </w:r>
      <w:r>
        <w:rPr>
          <w:rFonts w:eastAsia="仿宋_GB2312"/>
          <w:sz w:val="32"/>
          <w:szCs w:val="32"/>
        </w:rPr>
        <w:t>健全完善用途管制全周期监测、全过程监管机制，对用途管制实施情况实行监督考核。</w:t>
      </w:r>
    </w:p>
    <w:p w14:paraId="3061B624">
      <w:pPr>
        <w:spacing w:line="600" w:lineRule="exact"/>
        <w:ind w:firstLine="640" w:firstLineChars="200"/>
        <w:rPr>
          <w:rFonts w:eastAsia="仿宋_GB2312"/>
          <w:kern w:val="0"/>
          <w:sz w:val="32"/>
          <w:szCs w:val="32"/>
        </w:rPr>
      </w:pPr>
      <w:r>
        <w:rPr>
          <w:rFonts w:eastAsia="楷体_GB2312"/>
          <w:bCs/>
          <w:kern w:val="0"/>
          <w:sz w:val="32"/>
          <w:szCs w:val="32"/>
        </w:rPr>
        <w:t>推进公众参与。</w:t>
      </w:r>
      <w:r>
        <w:rPr>
          <w:rFonts w:eastAsia="仿宋_GB2312"/>
          <w:kern w:val="0"/>
          <w:sz w:val="32"/>
          <w:szCs w:val="32"/>
        </w:rPr>
        <w:t>改进规划工作方式，坚持开门编规划，建立专家咨询制度，加强国土空间规划编制实施的咨询论证。充分利用各类媒体，广泛听取专家、企业、社会组织、公众意见，扩大公众和社会各界参与程度，增强公众对科学、高效、集约利用国土空间重要性的认识，提高全社会参与规划实施与监督的主动性。</w:t>
      </w:r>
    </w:p>
    <w:p w14:paraId="1D7829D4">
      <w:pPr>
        <w:spacing w:line="600" w:lineRule="exact"/>
        <w:ind w:firstLine="640" w:firstLineChars="200"/>
        <w:rPr>
          <w:rFonts w:eastAsia="仿宋_GB2312"/>
          <w:kern w:val="0"/>
          <w:sz w:val="32"/>
          <w:szCs w:val="32"/>
        </w:rPr>
      </w:pPr>
      <w:r>
        <w:rPr>
          <w:rFonts w:eastAsia="楷体_GB2312"/>
          <w:bCs/>
          <w:kern w:val="0"/>
          <w:sz w:val="32"/>
          <w:szCs w:val="32"/>
        </w:rPr>
        <w:t>加强队伍建设。</w:t>
      </w:r>
      <w:r>
        <w:rPr>
          <w:rFonts w:eastAsia="仿宋_GB2312"/>
          <w:kern w:val="0"/>
          <w:sz w:val="32"/>
          <w:szCs w:val="32"/>
        </w:rPr>
        <w:t>加强国土空间规划理论、方法和技术研究，促进国土空间规划学科发展。建立规划编制单位全程负责制和审查审批单位规划质量终身负责制。从业务发展、技术进步、管理提升等方面系统加强队伍和机构建设，切实提高技术和管理人才专业素养，培养知识结构丰富、能力复合的国土空间规划队伍，保障和支撑国土空间规划的引领作用。</w:t>
      </w:r>
    </w:p>
    <w:p w14:paraId="4DE93220">
      <w:pPr>
        <w:pStyle w:val="3"/>
        <w:spacing w:before="156" w:beforeLines="50" w:after="156" w:afterLines="50" w:line="600" w:lineRule="exact"/>
        <w:rPr>
          <w:rFonts w:ascii="Times New Roman" w:hAnsi="Times New Roman"/>
          <w:b w:val="0"/>
          <w:bCs w:val="0"/>
        </w:rPr>
      </w:pPr>
      <w:bookmarkStart w:id="337" w:name="_Toc160715684"/>
      <w:bookmarkStart w:id="338" w:name="_Toc155861106"/>
      <w:r>
        <w:rPr>
          <w:rFonts w:ascii="Times New Roman" w:hAnsi="Times New Roman"/>
          <w:b w:val="0"/>
          <w:bCs w:val="0"/>
        </w:rPr>
        <w:t>第四节 统一平台建设</w:t>
      </w:r>
      <w:bookmarkEnd w:id="337"/>
      <w:bookmarkEnd w:id="338"/>
    </w:p>
    <w:p w14:paraId="46E7BEFA">
      <w:pPr>
        <w:spacing w:line="600" w:lineRule="exact"/>
        <w:ind w:firstLine="640" w:firstLineChars="200"/>
        <w:rPr>
          <w:rFonts w:eastAsia="仿宋_GB2312"/>
          <w:kern w:val="0"/>
          <w:sz w:val="32"/>
          <w:szCs w:val="32"/>
        </w:rPr>
      </w:pPr>
      <w:r>
        <w:rPr>
          <w:rFonts w:eastAsia="楷体_GB2312"/>
          <w:bCs/>
          <w:kern w:val="0"/>
          <w:sz w:val="32"/>
          <w:szCs w:val="32"/>
        </w:rPr>
        <w:t>统一国土空间数字化底图。</w:t>
      </w:r>
      <w:r>
        <w:rPr>
          <w:rFonts w:eastAsia="仿宋_GB2312"/>
          <w:sz w:val="32"/>
          <w:szCs w:val="32"/>
        </w:rPr>
        <w:t>依托时空大数据平台，建设国土空间基础信息平台，以实景三维中国建设成果和国土调查成果为基础，依据</w:t>
      </w:r>
      <w:r>
        <w:rPr>
          <w:rFonts w:hint="eastAsia" w:eastAsia="仿宋_GB2312"/>
          <w:sz w:val="32"/>
          <w:szCs w:val="32"/>
        </w:rPr>
        <w:t>国土空间调查、</w:t>
      </w:r>
      <w:r>
        <w:rPr>
          <w:rFonts w:eastAsia="仿宋_GB2312"/>
          <w:sz w:val="32"/>
          <w:szCs w:val="32"/>
        </w:rPr>
        <w:t>规划</w:t>
      </w:r>
      <w:r>
        <w:rPr>
          <w:rFonts w:hint="eastAsia" w:eastAsia="仿宋_GB2312"/>
          <w:sz w:val="32"/>
          <w:szCs w:val="32"/>
        </w:rPr>
        <w:t>、</w:t>
      </w:r>
      <w:r>
        <w:rPr>
          <w:rFonts w:eastAsia="仿宋_GB2312"/>
          <w:sz w:val="32"/>
          <w:szCs w:val="32"/>
        </w:rPr>
        <w:t>用途管</w:t>
      </w:r>
      <w:r>
        <w:rPr>
          <w:rFonts w:eastAsia="仿宋_GB2312"/>
          <w:kern w:val="0"/>
          <w:sz w:val="32"/>
          <w:szCs w:val="32"/>
        </w:rPr>
        <w:t>制用地用海分类，整合空间关联现状类数据</w:t>
      </w:r>
      <w:r>
        <w:rPr>
          <w:rFonts w:hint="eastAsia" w:eastAsia="仿宋_GB2312"/>
          <w:kern w:val="0"/>
          <w:sz w:val="32"/>
          <w:szCs w:val="32"/>
        </w:rPr>
        <w:t>。由</w:t>
      </w:r>
      <w:r>
        <w:rPr>
          <w:rFonts w:eastAsia="仿宋_GB2312"/>
          <w:kern w:val="0"/>
          <w:sz w:val="32"/>
          <w:szCs w:val="32"/>
        </w:rPr>
        <w:t>政府领导、自然资源管理部门牵头，统筹共享发展改革、林草、生态环境、住建、交通、水利、农牧等部门相关信息，完善细化调查和补充调查，形成覆盖全域、三维立体、权威统一的国土空间数字化底</w:t>
      </w:r>
      <w:r>
        <w:rPr>
          <w:rFonts w:hint="eastAsia" w:eastAsia="仿宋_GB2312"/>
          <w:kern w:val="0"/>
          <w:sz w:val="32"/>
          <w:szCs w:val="32"/>
        </w:rPr>
        <w:t>版</w:t>
      </w:r>
      <w:r>
        <w:rPr>
          <w:rFonts w:eastAsia="仿宋_GB2312"/>
          <w:kern w:val="0"/>
          <w:sz w:val="32"/>
          <w:szCs w:val="32"/>
        </w:rPr>
        <w:t>。</w:t>
      </w:r>
    </w:p>
    <w:p w14:paraId="5E2769CC">
      <w:pPr>
        <w:spacing w:line="600" w:lineRule="exact"/>
        <w:ind w:firstLine="640" w:firstLineChars="200"/>
        <w:rPr>
          <w:rFonts w:eastAsia="仿宋_GB2312"/>
          <w:kern w:val="0"/>
          <w:sz w:val="32"/>
          <w:szCs w:val="32"/>
        </w:rPr>
      </w:pPr>
      <w:r>
        <w:rPr>
          <w:rFonts w:eastAsia="楷体_GB2312"/>
          <w:bCs/>
          <w:kern w:val="0"/>
          <w:sz w:val="32"/>
          <w:szCs w:val="32"/>
        </w:rPr>
        <w:t>建立国土空间规划</w:t>
      </w:r>
      <w:r>
        <w:rPr>
          <w:rFonts w:hint="eastAsia" w:eastAsia="楷体_GB2312"/>
          <w:bCs/>
          <w:kern w:val="0"/>
          <w:sz w:val="32"/>
          <w:szCs w:val="32"/>
        </w:rPr>
        <w:t>“</w:t>
      </w:r>
      <w:r>
        <w:rPr>
          <w:rFonts w:eastAsia="楷体_GB2312"/>
          <w:bCs/>
          <w:kern w:val="0"/>
          <w:sz w:val="32"/>
          <w:szCs w:val="32"/>
        </w:rPr>
        <w:t>一张图</w:t>
      </w:r>
      <w:r>
        <w:rPr>
          <w:rFonts w:hint="eastAsia" w:eastAsia="楷体_GB2312"/>
          <w:bCs/>
          <w:kern w:val="0"/>
          <w:sz w:val="32"/>
          <w:szCs w:val="32"/>
        </w:rPr>
        <w:t>”</w:t>
      </w:r>
      <w:r>
        <w:rPr>
          <w:rFonts w:eastAsia="楷体_GB2312"/>
          <w:bCs/>
          <w:kern w:val="0"/>
          <w:sz w:val="32"/>
          <w:szCs w:val="32"/>
        </w:rPr>
        <w:t>。</w:t>
      </w:r>
      <w:r>
        <w:rPr>
          <w:rFonts w:eastAsia="仿宋_GB2312"/>
          <w:kern w:val="0"/>
          <w:sz w:val="32"/>
          <w:szCs w:val="32"/>
        </w:rPr>
        <w:t>汇总盟市、旗县</w:t>
      </w:r>
      <w:r>
        <w:rPr>
          <w:rFonts w:hint="eastAsia" w:eastAsia="仿宋_GB2312"/>
          <w:kern w:val="0"/>
          <w:sz w:val="32"/>
          <w:szCs w:val="32"/>
        </w:rPr>
        <w:t>（市、区）</w:t>
      </w:r>
      <w:r>
        <w:rPr>
          <w:rFonts w:eastAsia="仿宋_GB2312"/>
          <w:kern w:val="0"/>
          <w:sz w:val="32"/>
          <w:szCs w:val="32"/>
        </w:rPr>
        <w:t>、乡镇</w:t>
      </w:r>
      <w:r>
        <w:rPr>
          <w:rFonts w:hint="eastAsia" w:eastAsia="仿宋_GB2312"/>
          <w:kern w:val="0"/>
          <w:sz w:val="32"/>
          <w:szCs w:val="32"/>
        </w:rPr>
        <w:t>（</w:t>
      </w:r>
      <w:r>
        <w:rPr>
          <w:rFonts w:eastAsia="仿宋_GB2312"/>
          <w:kern w:val="0"/>
          <w:sz w:val="32"/>
          <w:szCs w:val="32"/>
        </w:rPr>
        <w:t>苏木</w:t>
      </w:r>
      <w:r>
        <w:rPr>
          <w:rFonts w:hint="eastAsia" w:eastAsia="仿宋_GB2312"/>
          <w:kern w:val="0"/>
          <w:sz w:val="32"/>
          <w:szCs w:val="32"/>
        </w:rPr>
        <w:t>）</w:t>
      </w:r>
      <w:r>
        <w:rPr>
          <w:rFonts w:eastAsia="仿宋_GB2312"/>
          <w:kern w:val="0"/>
          <w:sz w:val="32"/>
          <w:szCs w:val="32"/>
        </w:rPr>
        <w:t>国土空间规划，建立总体规划、详细规划逐级汇交和相关专项规划叠加融合的机制，明确耕地和永久基本农田、生态保护红线、城镇开发边界、历史文化保护线、自然灾害风险防控线等安全底线的空间边界，建立国土空间规划</w:t>
      </w:r>
      <w:r>
        <w:rPr>
          <w:rFonts w:hint="eastAsia" w:eastAsia="仿宋_GB2312"/>
          <w:kern w:val="0"/>
          <w:sz w:val="32"/>
          <w:szCs w:val="32"/>
        </w:rPr>
        <w:t>“</w:t>
      </w:r>
      <w:r>
        <w:rPr>
          <w:rFonts w:eastAsia="仿宋_GB2312"/>
          <w:kern w:val="0"/>
          <w:sz w:val="32"/>
          <w:szCs w:val="32"/>
        </w:rPr>
        <w:t>一张图</w:t>
      </w:r>
      <w:r>
        <w:rPr>
          <w:rFonts w:hint="eastAsia" w:eastAsia="仿宋_GB2312"/>
          <w:kern w:val="0"/>
          <w:sz w:val="32"/>
          <w:szCs w:val="32"/>
        </w:rPr>
        <w:t>”</w:t>
      </w:r>
      <w:r>
        <w:rPr>
          <w:rFonts w:eastAsia="仿宋_GB2312"/>
          <w:kern w:val="0"/>
          <w:sz w:val="32"/>
          <w:szCs w:val="32"/>
        </w:rPr>
        <w:t>实施监督信息系统，实现各级规划编制、审批、修改、实施全过程在线管理，加强规划实施管理，提高规划监管效率。</w:t>
      </w:r>
    </w:p>
    <w:p w14:paraId="30549E3A">
      <w:pPr>
        <w:spacing w:line="600" w:lineRule="exact"/>
        <w:ind w:firstLine="640" w:firstLineChars="200"/>
        <w:rPr>
          <w:sz w:val="22"/>
        </w:rPr>
      </w:pPr>
      <w:r>
        <w:rPr>
          <w:rFonts w:eastAsia="楷体_GB2312"/>
          <w:bCs/>
          <w:kern w:val="0"/>
          <w:sz w:val="32"/>
          <w:szCs w:val="32"/>
        </w:rPr>
        <w:t>完善国土空间数据共建共享机制。</w:t>
      </w:r>
      <w:r>
        <w:rPr>
          <w:rFonts w:eastAsia="仿宋_GB2312"/>
          <w:kern w:val="0"/>
          <w:sz w:val="32"/>
          <w:szCs w:val="32"/>
        </w:rPr>
        <w:t>建立健全平台运行机制和数据管理规则，加强信息交互与协同，实施上下贯通，贯穿国土调查、规划、用途管制、执法督察等各环节的全生命周期管理。推进传统数据与物联网、人工智能等新型数据融合应用，强化国土空间信息基础设施建设。建立</w:t>
      </w:r>
      <w:r>
        <w:rPr>
          <w:rFonts w:hint="eastAsia" w:eastAsia="仿宋_GB2312"/>
          <w:kern w:val="0"/>
          <w:sz w:val="32"/>
          <w:szCs w:val="32"/>
        </w:rPr>
        <w:t>地方</w:t>
      </w:r>
      <w:r>
        <w:rPr>
          <w:rFonts w:eastAsia="仿宋_GB2312"/>
          <w:kern w:val="0"/>
          <w:sz w:val="32"/>
          <w:szCs w:val="32"/>
        </w:rPr>
        <w:t>不同部门之间国土空间规划基础及成果数据共享机制，推进交通、能源、水利、环境、林草等空间数据互联互通、共建共享、联动调整，为</w:t>
      </w:r>
      <w:r>
        <w:rPr>
          <w:rFonts w:hint="eastAsia" w:eastAsia="仿宋_GB2312"/>
          <w:kern w:val="0"/>
          <w:sz w:val="32"/>
          <w:szCs w:val="32"/>
        </w:rPr>
        <w:t>地方</w:t>
      </w:r>
      <w:r>
        <w:rPr>
          <w:rFonts w:eastAsia="仿宋_GB2312"/>
          <w:kern w:val="0"/>
          <w:sz w:val="32"/>
          <w:szCs w:val="32"/>
        </w:rPr>
        <w:t>各级政府及相关部门提供国土空间统一底图和数据应用服务，提升协同管理效能。</w:t>
      </w:r>
    </w:p>
    <w:p w14:paraId="69D49052">
      <w:pPr>
        <w:pStyle w:val="3"/>
        <w:spacing w:before="156" w:beforeLines="50" w:after="156" w:afterLines="50" w:line="600" w:lineRule="exact"/>
        <w:rPr>
          <w:rFonts w:ascii="Times New Roman" w:hAnsi="Times New Roman"/>
          <w:b w:val="0"/>
          <w:bCs w:val="0"/>
        </w:rPr>
      </w:pPr>
      <w:bookmarkStart w:id="339" w:name="_Toc155861107"/>
      <w:bookmarkStart w:id="340" w:name="_Toc160715685"/>
      <w:r>
        <w:rPr>
          <w:rFonts w:ascii="Times New Roman" w:hAnsi="Times New Roman"/>
          <w:b w:val="0"/>
          <w:bCs w:val="0"/>
        </w:rPr>
        <w:t>第五节 强化监督管理</w:t>
      </w:r>
      <w:bookmarkEnd w:id="339"/>
      <w:bookmarkEnd w:id="340"/>
    </w:p>
    <w:p w14:paraId="370352C7">
      <w:pPr>
        <w:spacing w:line="600" w:lineRule="exact"/>
        <w:ind w:firstLine="640" w:firstLineChars="200"/>
        <w:rPr>
          <w:rFonts w:eastAsia="仿宋_GB2312"/>
          <w:kern w:val="0"/>
          <w:sz w:val="32"/>
          <w:szCs w:val="32"/>
        </w:rPr>
      </w:pPr>
      <w:r>
        <w:rPr>
          <w:rFonts w:eastAsia="楷体_GB2312"/>
          <w:bCs/>
          <w:kern w:val="0"/>
          <w:sz w:val="32"/>
          <w:szCs w:val="32"/>
        </w:rPr>
        <w:t>建设国土空间规划实施监测网络。</w:t>
      </w:r>
      <w:r>
        <w:rPr>
          <w:rFonts w:eastAsia="仿宋_GB2312"/>
          <w:kern w:val="0"/>
          <w:sz w:val="32"/>
          <w:szCs w:val="32"/>
        </w:rPr>
        <w:t>建立健全动态监测评估预警机制，加强对重要控制线、重要平台、重点区域等规划实施情况和重大工程、重点领域、突出问题等监测预警，及时掌握国土空间要素变化，强化定期监测、评价和分析，及时发现资源超载、过度利用等国土空间开发利用问题，支撑政府决策。</w:t>
      </w:r>
    </w:p>
    <w:p w14:paraId="51BD3BC0">
      <w:pPr>
        <w:widowControl/>
        <w:ind w:firstLine="640" w:firstLineChars="200"/>
        <w:rPr>
          <w:rFonts w:eastAsia="仿宋_GB2312"/>
          <w:sz w:val="32"/>
          <w:szCs w:val="32"/>
        </w:rPr>
      </w:pPr>
      <w:r>
        <w:rPr>
          <w:rFonts w:eastAsia="楷体_GB2312"/>
          <w:bCs/>
          <w:kern w:val="0"/>
          <w:sz w:val="32"/>
          <w:szCs w:val="32"/>
        </w:rPr>
        <w:t>严格规划动态评估调整。</w:t>
      </w:r>
      <w:r>
        <w:rPr>
          <w:rFonts w:eastAsia="仿宋_GB2312"/>
          <w:sz w:val="32"/>
          <w:szCs w:val="32"/>
        </w:rPr>
        <w:t>基于年度国土变更调查和地理国情监测成果，按照定期体检和五年一评估要求，健全定期评估的常态化规划实施监督机制，依据国家发展规划和国土空间规划体检评估结果，对国土空间规划进行动态调整完善</w:t>
      </w:r>
      <w:r>
        <w:rPr>
          <w:rFonts w:eastAsia="仿宋_GB2312"/>
          <w:kern w:val="0"/>
          <w:sz w:val="32"/>
          <w:szCs w:val="32"/>
        </w:rPr>
        <w:t>。</w:t>
      </w:r>
      <w:r>
        <w:rPr>
          <w:rFonts w:eastAsia="仿宋_GB2312"/>
          <w:sz w:val="32"/>
          <w:szCs w:val="32"/>
        </w:rPr>
        <w:t>规划实施过程中，因国家重大战略和项目实施、重大政策调整、经济社会发展条件发生重大变化、发生重大自然灾害</w:t>
      </w:r>
      <w:r>
        <w:rPr>
          <w:rFonts w:eastAsia="仿宋_GB2312"/>
          <w:kern w:val="0"/>
          <w:sz w:val="32"/>
          <w:szCs w:val="32"/>
        </w:rPr>
        <w:t>涉及规划目标、指标、空间布局等重大事项调整</w:t>
      </w:r>
      <w:r>
        <w:rPr>
          <w:rFonts w:eastAsia="仿宋_GB2312"/>
          <w:sz w:val="32"/>
          <w:szCs w:val="32"/>
        </w:rPr>
        <w:t>需要修改规划的，规划编制机关可以按程序修改规划，报原规划审批机关批准。</w:t>
      </w:r>
    </w:p>
    <w:p w14:paraId="1440970D">
      <w:pPr>
        <w:widowControl/>
        <w:ind w:firstLine="640" w:firstLineChars="200"/>
        <w:rPr>
          <w:rFonts w:eastAsia="仿宋_GB2312"/>
          <w:sz w:val="32"/>
          <w:szCs w:val="32"/>
        </w:rPr>
      </w:pPr>
      <w:r>
        <w:rPr>
          <w:rFonts w:eastAsia="楷体_GB2312"/>
          <w:bCs/>
          <w:kern w:val="0"/>
          <w:sz w:val="32"/>
          <w:szCs w:val="32"/>
        </w:rPr>
        <w:t>严格规划监督管理。</w:t>
      </w:r>
      <w:r>
        <w:rPr>
          <w:rFonts w:eastAsia="仿宋_GB2312"/>
          <w:sz w:val="32"/>
          <w:szCs w:val="32"/>
        </w:rPr>
        <w:t>建立健全规划监督、执法、问责联动机制，创新监管手段，强化监督信息互通，成果共享，形成人大、政协、纪检、监察、司法、审计、社会等各方监督合力。</w:t>
      </w:r>
    </w:p>
    <w:p w14:paraId="18784663">
      <w:pPr>
        <w:widowControl/>
        <w:rPr>
          <w:rFonts w:eastAsia="黑体"/>
          <w:sz w:val="32"/>
          <w:szCs w:val="32"/>
        </w:rPr>
      </w:pPr>
      <w:bookmarkStart w:id="341" w:name="_Toc67674920"/>
      <w:r>
        <w:rPr>
          <w:rFonts w:eastAsia="仿宋_GB2312"/>
          <w:sz w:val="30"/>
          <w:szCs w:val="32"/>
        </w:rPr>
        <w:br w:type="page"/>
      </w:r>
      <w:bookmarkEnd w:id="341"/>
      <w:r>
        <w:rPr>
          <w:rFonts w:eastAsia="黑体"/>
          <w:sz w:val="32"/>
          <w:szCs w:val="32"/>
        </w:rPr>
        <w:t>附图</w:t>
      </w:r>
    </w:p>
    <w:p w14:paraId="5108400A">
      <w:pPr>
        <w:pStyle w:val="27"/>
        <w:spacing w:after="0" w:line="600" w:lineRule="exact"/>
        <w:ind w:left="0" w:leftChars="0" w:firstLine="0"/>
        <w:rPr>
          <w:rFonts w:eastAsia="仿宋_GB2312"/>
          <w:sz w:val="32"/>
          <w:szCs w:val="32"/>
        </w:rPr>
      </w:pPr>
      <w:r>
        <w:rPr>
          <w:rFonts w:eastAsia="仿宋_GB2312"/>
          <w:sz w:val="32"/>
          <w:szCs w:val="32"/>
        </w:rPr>
        <w:t>01.国土空间用地现状图</w:t>
      </w:r>
    </w:p>
    <w:p w14:paraId="325687E4">
      <w:pPr>
        <w:pStyle w:val="27"/>
        <w:spacing w:after="0" w:line="600" w:lineRule="exact"/>
        <w:ind w:left="0" w:leftChars="0" w:firstLine="0"/>
        <w:rPr>
          <w:rFonts w:eastAsia="仿宋_GB2312"/>
          <w:sz w:val="32"/>
          <w:szCs w:val="32"/>
        </w:rPr>
      </w:pPr>
      <w:r>
        <w:rPr>
          <w:rFonts w:eastAsia="仿宋_GB2312"/>
          <w:sz w:val="32"/>
          <w:szCs w:val="32"/>
        </w:rPr>
        <w:t>02.耕地和永久基本农田保护红线图</w:t>
      </w:r>
    </w:p>
    <w:p w14:paraId="66A1450A">
      <w:pPr>
        <w:pStyle w:val="27"/>
        <w:spacing w:after="0" w:line="600" w:lineRule="exact"/>
        <w:ind w:left="0" w:leftChars="0" w:firstLine="0"/>
        <w:rPr>
          <w:rFonts w:eastAsia="仿宋_GB2312"/>
          <w:sz w:val="32"/>
          <w:szCs w:val="32"/>
        </w:rPr>
      </w:pPr>
      <w:r>
        <w:rPr>
          <w:rFonts w:eastAsia="仿宋_GB2312"/>
          <w:sz w:val="32"/>
          <w:szCs w:val="32"/>
        </w:rPr>
        <w:t>03.生态保护红线图</w:t>
      </w:r>
    </w:p>
    <w:p w14:paraId="6927F0CB">
      <w:pPr>
        <w:pStyle w:val="27"/>
        <w:spacing w:after="0" w:line="600" w:lineRule="exact"/>
        <w:ind w:left="0" w:leftChars="0" w:firstLine="0"/>
        <w:rPr>
          <w:rFonts w:eastAsia="仿宋_GB2312"/>
          <w:sz w:val="32"/>
          <w:szCs w:val="32"/>
        </w:rPr>
      </w:pPr>
      <w:r>
        <w:rPr>
          <w:rFonts w:eastAsia="仿宋_GB2312"/>
          <w:sz w:val="32"/>
          <w:szCs w:val="32"/>
        </w:rPr>
        <w:t>04.城镇开发边界图</w:t>
      </w:r>
    </w:p>
    <w:p w14:paraId="629E29DE">
      <w:pPr>
        <w:pStyle w:val="27"/>
        <w:spacing w:after="0" w:line="600" w:lineRule="exact"/>
        <w:ind w:left="0" w:leftChars="0" w:firstLine="0"/>
        <w:rPr>
          <w:rFonts w:eastAsia="仿宋_GB2312"/>
          <w:sz w:val="32"/>
          <w:szCs w:val="32"/>
        </w:rPr>
      </w:pPr>
      <w:r>
        <w:rPr>
          <w:rFonts w:eastAsia="仿宋_GB2312"/>
          <w:sz w:val="32"/>
          <w:szCs w:val="32"/>
        </w:rPr>
        <w:t>05.三条控制线图</w:t>
      </w:r>
    </w:p>
    <w:p w14:paraId="2401E554">
      <w:pPr>
        <w:pStyle w:val="27"/>
        <w:spacing w:after="0" w:line="600" w:lineRule="exact"/>
        <w:ind w:left="0" w:leftChars="0" w:firstLine="0"/>
        <w:rPr>
          <w:rFonts w:eastAsia="仿宋_GB2312"/>
          <w:sz w:val="32"/>
          <w:szCs w:val="32"/>
        </w:rPr>
      </w:pPr>
      <w:r>
        <w:rPr>
          <w:rFonts w:eastAsia="仿宋_GB2312"/>
          <w:sz w:val="32"/>
          <w:szCs w:val="32"/>
        </w:rPr>
        <w:t>06.国家级和自治区级主体功能区分布图</w:t>
      </w:r>
    </w:p>
    <w:p w14:paraId="661046F7">
      <w:pPr>
        <w:pStyle w:val="27"/>
        <w:spacing w:after="0" w:line="600" w:lineRule="exact"/>
        <w:ind w:left="0" w:leftChars="0" w:firstLine="0"/>
        <w:jc w:val="left"/>
        <w:rPr>
          <w:rFonts w:eastAsia="仿宋_GB2312"/>
          <w:sz w:val="32"/>
          <w:szCs w:val="32"/>
        </w:rPr>
      </w:pPr>
      <w:r>
        <w:rPr>
          <w:rFonts w:eastAsia="仿宋_GB2312"/>
          <w:sz w:val="32"/>
          <w:szCs w:val="32"/>
        </w:rPr>
        <w:t>0</w:t>
      </w:r>
      <w:r>
        <w:rPr>
          <w:rFonts w:hint="eastAsia" w:eastAsia="仿宋_GB2312"/>
          <w:sz w:val="32"/>
          <w:szCs w:val="32"/>
        </w:rPr>
        <w:t>7</w:t>
      </w:r>
      <w:r>
        <w:rPr>
          <w:rFonts w:eastAsia="仿宋_GB2312"/>
          <w:sz w:val="32"/>
          <w:szCs w:val="32"/>
        </w:rPr>
        <w:t>.国土空间开发保护格局图</w:t>
      </w:r>
    </w:p>
    <w:p w14:paraId="59DD89B6">
      <w:pPr>
        <w:pStyle w:val="27"/>
        <w:ind w:left="0" w:leftChars="0" w:firstLine="0"/>
        <w:jc w:val="center"/>
        <w:rPr>
          <w:rFonts w:eastAsia="黑体"/>
          <w:sz w:val="30"/>
          <w:szCs w:val="32"/>
        </w:rPr>
      </w:pPr>
    </w:p>
    <w:p w14:paraId="61958BF2">
      <w:pPr>
        <w:pStyle w:val="27"/>
        <w:ind w:left="0" w:leftChars="0" w:firstLine="0"/>
        <w:jc w:val="center"/>
        <w:rPr>
          <w:rFonts w:eastAsia="黑体"/>
          <w:sz w:val="30"/>
          <w:szCs w:val="32"/>
        </w:rPr>
        <w:sectPr>
          <w:footerReference r:id="rId10" w:type="default"/>
          <w:pgSz w:w="11906" w:h="16838"/>
          <w:pgMar w:top="1701" w:right="1701" w:bottom="1701" w:left="1701" w:header="851" w:footer="851" w:gutter="0"/>
          <w:cols w:space="720" w:num="1"/>
          <w:docGrid w:type="lines" w:linePitch="312" w:charSpace="0"/>
        </w:sectPr>
      </w:pPr>
    </w:p>
    <w:p w14:paraId="767EA2E9">
      <w:pPr>
        <w:pStyle w:val="27"/>
        <w:ind w:left="0" w:leftChars="0" w:firstLine="0"/>
        <w:jc w:val="center"/>
        <w:rPr>
          <w:rFonts w:eastAsia="黑体"/>
          <w:sz w:val="30"/>
          <w:szCs w:val="32"/>
        </w:rPr>
      </w:pPr>
      <w:r>
        <w:rPr>
          <w:rFonts w:eastAsia="黑体"/>
          <w:sz w:val="30"/>
          <w:szCs w:val="32"/>
        </w:rPr>
        <w:drawing>
          <wp:inline distT="0" distB="0" distL="114300" distR="114300">
            <wp:extent cx="8641080" cy="6109970"/>
            <wp:effectExtent l="0" t="0" r="7620" b="5080"/>
            <wp:docPr id="1" name="图片 14" descr="150000内蒙古自治区20国土空间用地用海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150000内蒙古自治区20国土空间用地用海现状图"/>
                    <pic:cNvPicPr>
                      <a:picLocks noChangeAspect="1"/>
                    </pic:cNvPicPr>
                  </pic:nvPicPr>
                  <pic:blipFill>
                    <a:blip r:embed="rId13"/>
                    <a:stretch>
                      <a:fillRect/>
                    </a:stretch>
                  </pic:blipFill>
                  <pic:spPr>
                    <a:xfrm>
                      <a:off x="0" y="0"/>
                      <a:ext cx="8641080" cy="6109970"/>
                    </a:xfrm>
                    <a:prstGeom prst="rect">
                      <a:avLst/>
                    </a:prstGeom>
                    <a:noFill/>
                    <a:ln>
                      <a:noFill/>
                    </a:ln>
                  </pic:spPr>
                </pic:pic>
              </a:graphicData>
            </a:graphic>
          </wp:inline>
        </w:drawing>
      </w:r>
    </w:p>
    <w:p w14:paraId="29979A71">
      <w:pPr>
        <w:pStyle w:val="27"/>
        <w:ind w:left="0" w:leftChars="0" w:firstLine="0"/>
        <w:jc w:val="center"/>
        <w:rPr>
          <w:rFonts w:eastAsia="黑体"/>
          <w:sz w:val="30"/>
          <w:szCs w:val="32"/>
        </w:rPr>
        <w:sectPr>
          <w:pgSz w:w="16838" w:h="11906" w:orient="landscape"/>
          <w:pgMar w:top="1134" w:right="1134" w:bottom="1134" w:left="1134" w:header="851" w:footer="850" w:gutter="0"/>
          <w:cols w:space="720" w:num="1"/>
          <w:docGrid w:type="lines" w:linePitch="312" w:charSpace="0"/>
        </w:sectPr>
      </w:pPr>
    </w:p>
    <w:p w14:paraId="71FF755F">
      <w:pPr>
        <w:jc w:val="center"/>
      </w:pPr>
      <w:r>
        <w:drawing>
          <wp:inline distT="0" distB="0" distL="114300" distR="114300">
            <wp:extent cx="8677275" cy="6135370"/>
            <wp:effectExtent l="0" t="0" r="9525" b="17780"/>
            <wp:docPr id="2" name="图片 17" descr="省级总规栅格图件PDF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省级总规栅格图件PDF_页面_02"/>
                    <pic:cNvPicPr>
                      <a:picLocks noChangeAspect="1"/>
                    </pic:cNvPicPr>
                  </pic:nvPicPr>
                  <pic:blipFill>
                    <a:blip r:embed="rId14"/>
                    <a:stretch>
                      <a:fillRect/>
                    </a:stretch>
                  </pic:blipFill>
                  <pic:spPr>
                    <a:xfrm>
                      <a:off x="0" y="0"/>
                      <a:ext cx="8677275" cy="6135370"/>
                    </a:xfrm>
                    <a:prstGeom prst="rect">
                      <a:avLst/>
                    </a:prstGeom>
                    <a:noFill/>
                    <a:ln>
                      <a:noFill/>
                    </a:ln>
                  </pic:spPr>
                </pic:pic>
              </a:graphicData>
            </a:graphic>
          </wp:inline>
        </w:drawing>
      </w:r>
    </w:p>
    <w:p w14:paraId="31761EA8">
      <w:pPr>
        <w:jc w:val="center"/>
      </w:pPr>
      <w:r>
        <w:drawing>
          <wp:inline distT="0" distB="0" distL="114300" distR="114300">
            <wp:extent cx="8654415" cy="6118860"/>
            <wp:effectExtent l="0" t="0" r="13335" b="15240"/>
            <wp:docPr id="3" name="图片 18" descr="省级总规栅格图件PDF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省级总规栅格图件PDF_页面_03"/>
                    <pic:cNvPicPr>
                      <a:picLocks noChangeAspect="1"/>
                    </pic:cNvPicPr>
                  </pic:nvPicPr>
                  <pic:blipFill>
                    <a:blip r:embed="rId15"/>
                    <a:stretch>
                      <a:fillRect/>
                    </a:stretch>
                  </pic:blipFill>
                  <pic:spPr>
                    <a:xfrm>
                      <a:off x="0" y="0"/>
                      <a:ext cx="8654415" cy="6118860"/>
                    </a:xfrm>
                    <a:prstGeom prst="rect">
                      <a:avLst/>
                    </a:prstGeom>
                    <a:noFill/>
                    <a:ln>
                      <a:noFill/>
                    </a:ln>
                  </pic:spPr>
                </pic:pic>
              </a:graphicData>
            </a:graphic>
          </wp:inline>
        </w:drawing>
      </w:r>
      <w:r>
        <w:br w:type="page"/>
      </w:r>
      <w:r>
        <w:drawing>
          <wp:inline distT="0" distB="0" distL="114300" distR="114300">
            <wp:extent cx="8660765" cy="6123940"/>
            <wp:effectExtent l="0" t="0" r="6985" b="10160"/>
            <wp:docPr id="4" name="图片 19" descr="省级总规栅格图件PDF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省级总规栅格图件PDF_页面_04"/>
                    <pic:cNvPicPr>
                      <a:picLocks noChangeAspect="1"/>
                    </pic:cNvPicPr>
                  </pic:nvPicPr>
                  <pic:blipFill>
                    <a:blip r:embed="rId16"/>
                    <a:stretch>
                      <a:fillRect/>
                    </a:stretch>
                  </pic:blipFill>
                  <pic:spPr>
                    <a:xfrm>
                      <a:off x="0" y="0"/>
                      <a:ext cx="8660765" cy="6123940"/>
                    </a:xfrm>
                    <a:prstGeom prst="rect">
                      <a:avLst/>
                    </a:prstGeom>
                    <a:noFill/>
                    <a:ln>
                      <a:noFill/>
                    </a:ln>
                  </pic:spPr>
                </pic:pic>
              </a:graphicData>
            </a:graphic>
          </wp:inline>
        </w:drawing>
      </w:r>
    </w:p>
    <w:p w14:paraId="6EA5C9A8">
      <w:pPr>
        <w:pStyle w:val="27"/>
        <w:ind w:left="0" w:leftChars="0" w:firstLine="0"/>
        <w:jc w:val="center"/>
      </w:pPr>
      <w:r>
        <w:drawing>
          <wp:inline distT="0" distB="0" distL="114300" distR="114300">
            <wp:extent cx="8664575" cy="6127750"/>
            <wp:effectExtent l="0" t="0" r="3175" b="6350"/>
            <wp:docPr id="5" name="图片 24" descr="150000内蒙古自治区05三条控制线图 20221212 双界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150000内蒙古自治区05三条控制线图 20221212 双界限"/>
                    <pic:cNvPicPr>
                      <a:picLocks noChangeAspect="1"/>
                    </pic:cNvPicPr>
                  </pic:nvPicPr>
                  <pic:blipFill>
                    <a:blip r:embed="rId17"/>
                    <a:stretch>
                      <a:fillRect/>
                    </a:stretch>
                  </pic:blipFill>
                  <pic:spPr>
                    <a:xfrm>
                      <a:off x="0" y="0"/>
                      <a:ext cx="8664575" cy="6127750"/>
                    </a:xfrm>
                    <a:prstGeom prst="rect">
                      <a:avLst/>
                    </a:prstGeom>
                    <a:noFill/>
                    <a:ln>
                      <a:noFill/>
                    </a:ln>
                  </pic:spPr>
                </pic:pic>
              </a:graphicData>
            </a:graphic>
          </wp:inline>
        </w:drawing>
      </w:r>
    </w:p>
    <w:p w14:paraId="2B779991">
      <w:pPr>
        <w:pStyle w:val="27"/>
        <w:ind w:left="0" w:leftChars="0" w:firstLine="0"/>
        <w:jc w:val="center"/>
      </w:pPr>
      <w:r>
        <w:drawing>
          <wp:inline distT="0" distB="0" distL="114300" distR="114300">
            <wp:extent cx="8620760" cy="6096000"/>
            <wp:effectExtent l="0" t="0" r="8890" b="0"/>
            <wp:docPr id="6" name="图片 13" descr="主体功能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主体功能区"/>
                    <pic:cNvPicPr>
                      <a:picLocks noChangeAspect="1"/>
                    </pic:cNvPicPr>
                  </pic:nvPicPr>
                  <pic:blipFill>
                    <a:blip r:embed="rId18"/>
                    <a:stretch>
                      <a:fillRect/>
                    </a:stretch>
                  </pic:blipFill>
                  <pic:spPr>
                    <a:xfrm>
                      <a:off x="0" y="0"/>
                      <a:ext cx="8620760" cy="6096000"/>
                    </a:xfrm>
                    <a:prstGeom prst="rect">
                      <a:avLst/>
                    </a:prstGeom>
                    <a:noFill/>
                    <a:ln>
                      <a:noFill/>
                    </a:ln>
                  </pic:spPr>
                </pic:pic>
              </a:graphicData>
            </a:graphic>
          </wp:inline>
        </w:drawing>
      </w:r>
    </w:p>
    <w:p w14:paraId="3AE0E589">
      <w:pPr>
        <w:pStyle w:val="27"/>
        <w:ind w:left="0" w:leftChars="0" w:firstLine="0"/>
        <w:jc w:val="center"/>
      </w:pPr>
      <w:r>
        <w:rPr>
          <w:rFonts w:eastAsia="黑体"/>
          <w:sz w:val="30"/>
          <w:szCs w:val="32"/>
        </w:rPr>
        <w:drawing>
          <wp:inline distT="0" distB="0" distL="114300" distR="114300">
            <wp:extent cx="8656320" cy="6117590"/>
            <wp:effectExtent l="0" t="0" r="11430" b="16510"/>
            <wp:docPr id="7" name="图片 3" descr="总体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总体格局图"/>
                    <pic:cNvPicPr>
                      <a:picLocks noChangeAspect="1"/>
                    </pic:cNvPicPr>
                  </pic:nvPicPr>
                  <pic:blipFill>
                    <a:blip r:embed="rId19"/>
                    <a:stretch>
                      <a:fillRect/>
                    </a:stretch>
                  </pic:blipFill>
                  <pic:spPr>
                    <a:xfrm>
                      <a:off x="0" y="0"/>
                      <a:ext cx="8656320" cy="6117590"/>
                    </a:xfrm>
                    <a:prstGeom prst="rect">
                      <a:avLst/>
                    </a:prstGeom>
                    <a:noFill/>
                    <a:ln>
                      <a:noFill/>
                    </a:ln>
                  </pic:spPr>
                </pic:pic>
              </a:graphicData>
            </a:graphic>
          </wp:inline>
        </w:drawing>
      </w:r>
    </w:p>
    <w:sectPr>
      <w:footerReference r:id="rId11" w:type="default"/>
      <w:pgSz w:w="16838" w:h="11906" w:orient="landscape"/>
      <w:pgMar w:top="1134" w:right="1134" w:bottom="1134" w:left="1134" w:header="851" w:footer="85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12AAEA9-D240-4C39-BA53-67A813CBA2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2" w:fontKey="{CA309564-DFF0-4DEE-AD04-DE89773BA28A}"/>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3" w:fontKey="{B939EFE2-533C-432D-8F69-7B47E943E6A6}"/>
  </w:font>
  <w:font w:name="楷体_GB2312">
    <w:altName w:val="楷体"/>
    <w:panose1 w:val="02010609030101010101"/>
    <w:charset w:val="86"/>
    <w:family w:val="modern"/>
    <w:pitch w:val="default"/>
    <w:sig w:usb0="00000000" w:usb1="00000000" w:usb2="00000000" w:usb3="00000000" w:csb0="00040000" w:csb1="00000000"/>
    <w:embedRegular r:id="rId4" w:fontKey="{98BA4D23-B650-453A-BA4F-FBE732C2C03F}"/>
  </w:font>
  <w:font w:name="仿宋_GB2312">
    <w:altName w:val="仿宋"/>
    <w:panose1 w:val="02010609030101010101"/>
    <w:charset w:val="86"/>
    <w:family w:val="modern"/>
    <w:pitch w:val="default"/>
    <w:sig w:usb0="00000000" w:usb1="00000000" w:usb2="00000000" w:usb3="00000000" w:csb0="00040000" w:csb1="00000000"/>
    <w:embedRegular r:id="rId5" w:fontKey="{168566E6-36C0-4DA2-97D8-B6089723079E}"/>
  </w:font>
  <w:font w:name="方正小标宋_GBK">
    <w:altName w:val="微软雅黑"/>
    <w:panose1 w:val="02000000000000000000"/>
    <w:charset w:val="86"/>
    <w:family w:val="script"/>
    <w:pitch w:val="default"/>
    <w:sig w:usb0="00000000" w:usb1="00000000" w:usb2="00000000" w:usb3="00000000" w:csb0="00040000" w:csb1="00000000"/>
    <w:embedRegular r:id="rId6" w:fontKey="{88764EE5-C7FC-4D19-9976-08327F61B9D6}"/>
  </w:font>
  <w:font w:name="方正小标宋">
    <w:altName w:val="宋体"/>
    <w:panose1 w:val="00000000000000000000"/>
    <w:charset w:val="00"/>
    <w:family w:val="auto"/>
    <w:pitch w:val="default"/>
    <w:sig w:usb0="00000000" w:usb1="00000000" w:usb2="00000000" w:usb3="00000000" w:csb0="00040001" w:csb1="00000000"/>
    <w:embedRegular r:id="rId7" w:fontKey="{A0340503-A2DA-405A-8FE1-DAB73F0AB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5629">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B0ED7">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39</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3E6CC">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43</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A57C1">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104</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7BC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8A6F">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85415">
    <w:pPr>
      <w:pStyle w:val="1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Y4MTIxOTUxNmY3OTE1YTc4ZWM3MDM1OGFlMjEifQ=="/>
  </w:docVars>
  <w:rsids>
    <w:rsidRoot w:val="00172A27"/>
    <w:rsid w:val="00000CA8"/>
    <w:rsid w:val="000013FA"/>
    <w:rsid w:val="00001DB4"/>
    <w:rsid w:val="00001EC6"/>
    <w:rsid w:val="00001F11"/>
    <w:rsid w:val="00003151"/>
    <w:rsid w:val="000032AD"/>
    <w:rsid w:val="000036DA"/>
    <w:rsid w:val="0000370A"/>
    <w:rsid w:val="000043F5"/>
    <w:rsid w:val="000044CB"/>
    <w:rsid w:val="00004BB6"/>
    <w:rsid w:val="00004F9F"/>
    <w:rsid w:val="000053A4"/>
    <w:rsid w:val="00005423"/>
    <w:rsid w:val="000058D6"/>
    <w:rsid w:val="0000638F"/>
    <w:rsid w:val="000064A9"/>
    <w:rsid w:val="0000723C"/>
    <w:rsid w:val="0000728E"/>
    <w:rsid w:val="00007448"/>
    <w:rsid w:val="00010023"/>
    <w:rsid w:val="00010773"/>
    <w:rsid w:val="00010E17"/>
    <w:rsid w:val="00010EA3"/>
    <w:rsid w:val="0001184A"/>
    <w:rsid w:val="00011992"/>
    <w:rsid w:val="00011CBA"/>
    <w:rsid w:val="00011F0F"/>
    <w:rsid w:val="00012457"/>
    <w:rsid w:val="000124BC"/>
    <w:rsid w:val="000128DE"/>
    <w:rsid w:val="00012F00"/>
    <w:rsid w:val="00013917"/>
    <w:rsid w:val="00013AD4"/>
    <w:rsid w:val="00013D28"/>
    <w:rsid w:val="000147FF"/>
    <w:rsid w:val="00014E96"/>
    <w:rsid w:val="00014F56"/>
    <w:rsid w:val="00015BB8"/>
    <w:rsid w:val="00015C0B"/>
    <w:rsid w:val="00015D51"/>
    <w:rsid w:val="00015E39"/>
    <w:rsid w:val="00015FD6"/>
    <w:rsid w:val="00016444"/>
    <w:rsid w:val="0001788D"/>
    <w:rsid w:val="000179E0"/>
    <w:rsid w:val="00020888"/>
    <w:rsid w:val="00020A5E"/>
    <w:rsid w:val="000211CB"/>
    <w:rsid w:val="00021306"/>
    <w:rsid w:val="00022437"/>
    <w:rsid w:val="0002261B"/>
    <w:rsid w:val="00022B41"/>
    <w:rsid w:val="00022E0F"/>
    <w:rsid w:val="0002348D"/>
    <w:rsid w:val="00023FA8"/>
    <w:rsid w:val="00024A92"/>
    <w:rsid w:val="00025496"/>
    <w:rsid w:val="0002599D"/>
    <w:rsid w:val="00025B3C"/>
    <w:rsid w:val="00025CA8"/>
    <w:rsid w:val="00025CF7"/>
    <w:rsid w:val="00026A0D"/>
    <w:rsid w:val="00030973"/>
    <w:rsid w:val="000310EF"/>
    <w:rsid w:val="00031A10"/>
    <w:rsid w:val="0003276B"/>
    <w:rsid w:val="00032C9B"/>
    <w:rsid w:val="000331D8"/>
    <w:rsid w:val="00034855"/>
    <w:rsid w:val="0003528C"/>
    <w:rsid w:val="00035DF7"/>
    <w:rsid w:val="0003624F"/>
    <w:rsid w:val="00036251"/>
    <w:rsid w:val="000364FE"/>
    <w:rsid w:val="00036B06"/>
    <w:rsid w:val="00036D86"/>
    <w:rsid w:val="0003704A"/>
    <w:rsid w:val="00037544"/>
    <w:rsid w:val="0003783F"/>
    <w:rsid w:val="00040098"/>
    <w:rsid w:val="0004018E"/>
    <w:rsid w:val="000402B3"/>
    <w:rsid w:val="0004059C"/>
    <w:rsid w:val="00040F29"/>
    <w:rsid w:val="000414AC"/>
    <w:rsid w:val="0004172A"/>
    <w:rsid w:val="00041FD2"/>
    <w:rsid w:val="00042709"/>
    <w:rsid w:val="00042F67"/>
    <w:rsid w:val="00043171"/>
    <w:rsid w:val="000442E8"/>
    <w:rsid w:val="00044706"/>
    <w:rsid w:val="00045128"/>
    <w:rsid w:val="00045B56"/>
    <w:rsid w:val="000467A1"/>
    <w:rsid w:val="000467FE"/>
    <w:rsid w:val="00046922"/>
    <w:rsid w:val="00046B6A"/>
    <w:rsid w:val="00046CE4"/>
    <w:rsid w:val="00046F99"/>
    <w:rsid w:val="00050324"/>
    <w:rsid w:val="0005039A"/>
    <w:rsid w:val="00050954"/>
    <w:rsid w:val="00050A76"/>
    <w:rsid w:val="000510E6"/>
    <w:rsid w:val="0005132A"/>
    <w:rsid w:val="00051850"/>
    <w:rsid w:val="0005249F"/>
    <w:rsid w:val="0005283B"/>
    <w:rsid w:val="00053542"/>
    <w:rsid w:val="00053717"/>
    <w:rsid w:val="00053A54"/>
    <w:rsid w:val="00053CE1"/>
    <w:rsid w:val="00053D3A"/>
    <w:rsid w:val="00054512"/>
    <w:rsid w:val="00054A13"/>
    <w:rsid w:val="00055580"/>
    <w:rsid w:val="0005588A"/>
    <w:rsid w:val="000600B1"/>
    <w:rsid w:val="00060391"/>
    <w:rsid w:val="00060732"/>
    <w:rsid w:val="00060FC4"/>
    <w:rsid w:val="000611B0"/>
    <w:rsid w:val="000614D6"/>
    <w:rsid w:val="00061D5B"/>
    <w:rsid w:val="00062521"/>
    <w:rsid w:val="000636F1"/>
    <w:rsid w:val="000639F4"/>
    <w:rsid w:val="00063BE3"/>
    <w:rsid w:val="00063E11"/>
    <w:rsid w:val="00064163"/>
    <w:rsid w:val="00064443"/>
    <w:rsid w:val="000644E1"/>
    <w:rsid w:val="00064965"/>
    <w:rsid w:val="00065F12"/>
    <w:rsid w:val="00066376"/>
    <w:rsid w:val="00066846"/>
    <w:rsid w:val="00066AB7"/>
    <w:rsid w:val="0007059E"/>
    <w:rsid w:val="0007069A"/>
    <w:rsid w:val="000709B0"/>
    <w:rsid w:val="00070D2F"/>
    <w:rsid w:val="00071089"/>
    <w:rsid w:val="00071E2E"/>
    <w:rsid w:val="000722FB"/>
    <w:rsid w:val="00072B5C"/>
    <w:rsid w:val="00072FAA"/>
    <w:rsid w:val="00072FDD"/>
    <w:rsid w:val="0007336E"/>
    <w:rsid w:val="00073772"/>
    <w:rsid w:val="00073D18"/>
    <w:rsid w:val="000740B8"/>
    <w:rsid w:val="00074462"/>
    <w:rsid w:val="00074760"/>
    <w:rsid w:val="0007486F"/>
    <w:rsid w:val="00074F59"/>
    <w:rsid w:val="00075C66"/>
    <w:rsid w:val="0007617E"/>
    <w:rsid w:val="000766B3"/>
    <w:rsid w:val="00077B46"/>
    <w:rsid w:val="00080598"/>
    <w:rsid w:val="00080A28"/>
    <w:rsid w:val="0008251B"/>
    <w:rsid w:val="00082663"/>
    <w:rsid w:val="000830AA"/>
    <w:rsid w:val="0008373B"/>
    <w:rsid w:val="000842E8"/>
    <w:rsid w:val="000848E1"/>
    <w:rsid w:val="00085449"/>
    <w:rsid w:val="0008592B"/>
    <w:rsid w:val="00085DD8"/>
    <w:rsid w:val="00085F77"/>
    <w:rsid w:val="00085FB7"/>
    <w:rsid w:val="0008654E"/>
    <w:rsid w:val="000900D0"/>
    <w:rsid w:val="000903EF"/>
    <w:rsid w:val="00090678"/>
    <w:rsid w:val="00092238"/>
    <w:rsid w:val="0009281D"/>
    <w:rsid w:val="00092AA2"/>
    <w:rsid w:val="00092C61"/>
    <w:rsid w:val="00092FA2"/>
    <w:rsid w:val="0009386D"/>
    <w:rsid w:val="00093CBD"/>
    <w:rsid w:val="00093E37"/>
    <w:rsid w:val="000945D0"/>
    <w:rsid w:val="00094839"/>
    <w:rsid w:val="00094DCA"/>
    <w:rsid w:val="00096C89"/>
    <w:rsid w:val="000974AF"/>
    <w:rsid w:val="00097E3C"/>
    <w:rsid w:val="000A029A"/>
    <w:rsid w:val="000A08E4"/>
    <w:rsid w:val="000A0A51"/>
    <w:rsid w:val="000A0D16"/>
    <w:rsid w:val="000A1D57"/>
    <w:rsid w:val="000A2819"/>
    <w:rsid w:val="000A2F7A"/>
    <w:rsid w:val="000A388B"/>
    <w:rsid w:val="000A3CF4"/>
    <w:rsid w:val="000A3E61"/>
    <w:rsid w:val="000A4383"/>
    <w:rsid w:val="000A47D2"/>
    <w:rsid w:val="000A586E"/>
    <w:rsid w:val="000A6A4D"/>
    <w:rsid w:val="000A6C6E"/>
    <w:rsid w:val="000A731C"/>
    <w:rsid w:val="000A73A3"/>
    <w:rsid w:val="000A73CD"/>
    <w:rsid w:val="000A782B"/>
    <w:rsid w:val="000B0B01"/>
    <w:rsid w:val="000B240A"/>
    <w:rsid w:val="000B25DE"/>
    <w:rsid w:val="000B294D"/>
    <w:rsid w:val="000B2ADE"/>
    <w:rsid w:val="000B2DDD"/>
    <w:rsid w:val="000B2F01"/>
    <w:rsid w:val="000B330A"/>
    <w:rsid w:val="000B3546"/>
    <w:rsid w:val="000B3BE1"/>
    <w:rsid w:val="000B3ECA"/>
    <w:rsid w:val="000B417B"/>
    <w:rsid w:val="000B48EE"/>
    <w:rsid w:val="000B4F82"/>
    <w:rsid w:val="000B526C"/>
    <w:rsid w:val="000B5B08"/>
    <w:rsid w:val="000B623D"/>
    <w:rsid w:val="000B6281"/>
    <w:rsid w:val="000B6296"/>
    <w:rsid w:val="000B69F7"/>
    <w:rsid w:val="000B738D"/>
    <w:rsid w:val="000B767F"/>
    <w:rsid w:val="000B76CC"/>
    <w:rsid w:val="000C0455"/>
    <w:rsid w:val="000C0574"/>
    <w:rsid w:val="000C0A96"/>
    <w:rsid w:val="000C0E7C"/>
    <w:rsid w:val="000C0FB8"/>
    <w:rsid w:val="000C1425"/>
    <w:rsid w:val="000C1A09"/>
    <w:rsid w:val="000C1F87"/>
    <w:rsid w:val="000C2A0A"/>
    <w:rsid w:val="000C30CD"/>
    <w:rsid w:val="000C31EF"/>
    <w:rsid w:val="000C3F40"/>
    <w:rsid w:val="000C400E"/>
    <w:rsid w:val="000C4512"/>
    <w:rsid w:val="000C48CF"/>
    <w:rsid w:val="000C48FB"/>
    <w:rsid w:val="000C5287"/>
    <w:rsid w:val="000C5575"/>
    <w:rsid w:val="000C5849"/>
    <w:rsid w:val="000C6BB7"/>
    <w:rsid w:val="000C7987"/>
    <w:rsid w:val="000C7ABF"/>
    <w:rsid w:val="000C7C3B"/>
    <w:rsid w:val="000C7CB5"/>
    <w:rsid w:val="000D0019"/>
    <w:rsid w:val="000D00C5"/>
    <w:rsid w:val="000D0427"/>
    <w:rsid w:val="000D0A28"/>
    <w:rsid w:val="000D0C60"/>
    <w:rsid w:val="000D1992"/>
    <w:rsid w:val="000D20B1"/>
    <w:rsid w:val="000D2895"/>
    <w:rsid w:val="000D2BC6"/>
    <w:rsid w:val="000D3396"/>
    <w:rsid w:val="000D3638"/>
    <w:rsid w:val="000D3668"/>
    <w:rsid w:val="000D44BF"/>
    <w:rsid w:val="000D4551"/>
    <w:rsid w:val="000D49A2"/>
    <w:rsid w:val="000D4A96"/>
    <w:rsid w:val="000D5100"/>
    <w:rsid w:val="000D51E5"/>
    <w:rsid w:val="000D5A76"/>
    <w:rsid w:val="000D626A"/>
    <w:rsid w:val="000D6674"/>
    <w:rsid w:val="000D74EC"/>
    <w:rsid w:val="000D7A7E"/>
    <w:rsid w:val="000D7AB0"/>
    <w:rsid w:val="000E0014"/>
    <w:rsid w:val="000E0151"/>
    <w:rsid w:val="000E020D"/>
    <w:rsid w:val="000E03F3"/>
    <w:rsid w:val="000E08D5"/>
    <w:rsid w:val="000E0A2B"/>
    <w:rsid w:val="000E1D67"/>
    <w:rsid w:val="000E236C"/>
    <w:rsid w:val="000E2934"/>
    <w:rsid w:val="000E2981"/>
    <w:rsid w:val="000E2CC2"/>
    <w:rsid w:val="000E2DFB"/>
    <w:rsid w:val="000E39F2"/>
    <w:rsid w:val="000E3DEC"/>
    <w:rsid w:val="000E3EEA"/>
    <w:rsid w:val="000E426D"/>
    <w:rsid w:val="000E47A9"/>
    <w:rsid w:val="000E4AA0"/>
    <w:rsid w:val="000E4D0E"/>
    <w:rsid w:val="000E4DCB"/>
    <w:rsid w:val="000E56EE"/>
    <w:rsid w:val="000E58D0"/>
    <w:rsid w:val="000E6206"/>
    <w:rsid w:val="000E73AE"/>
    <w:rsid w:val="000E7AA4"/>
    <w:rsid w:val="000F1147"/>
    <w:rsid w:val="000F1714"/>
    <w:rsid w:val="000F22C6"/>
    <w:rsid w:val="000F2743"/>
    <w:rsid w:val="000F2C14"/>
    <w:rsid w:val="000F2F0B"/>
    <w:rsid w:val="000F365C"/>
    <w:rsid w:val="000F37CD"/>
    <w:rsid w:val="000F3A55"/>
    <w:rsid w:val="000F45C3"/>
    <w:rsid w:val="000F4EC0"/>
    <w:rsid w:val="000F526B"/>
    <w:rsid w:val="000F5AAC"/>
    <w:rsid w:val="000F5F6E"/>
    <w:rsid w:val="000F6380"/>
    <w:rsid w:val="000F68BE"/>
    <w:rsid w:val="000F6B8E"/>
    <w:rsid w:val="000F6F3A"/>
    <w:rsid w:val="000F78CB"/>
    <w:rsid w:val="000F7B37"/>
    <w:rsid w:val="0010028F"/>
    <w:rsid w:val="00101978"/>
    <w:rsid w:val="00101A20"/>
    <w:rsid w:val="00101A28"/>
    <w:rsid w:val="00101A71"/>
    <w:rsid w:val="00101C8F"/>
    <w:rsid w:val="00101D9B"/>
    <w:rsid w:val="0010264F"/>
    <w:rsid w:val="0010287B"/>
    <w:rsid w:val="00102F53"/>
    <w:rsid w:val="00102FEB"/>
    <w:rsid w:val="001037AE"/>
    <w:rsid w:val="00103C73"/>
    <w:rsid w:val="00103E66"/>
    <w:rsid w:val="00103ED6"/>
    <w:rsid w:val="001040B8"/>
    <w:rsid w:val="00104341"/>
    <w:rsid w:val="00104DFA"/>
    <w:rsid w:val="00105328"/>
    <w:rsid w:val="001053C8"/>
    <w:rsid w:val="00105505"/>
    <w:rsid w:val="00105AA1"/>
    <w:rsid w:val="00105C85"/>
    <w:rsid w:val="00105E7C"/>
    <w:rsid w:val="001061F4"/>
    <w:rsid w:val="00110294"/>
    <w:rsid w:val="00110A48"/>
    <w:rsid w:val="00111210"/>
    <w:rsid w:val="001112EF"/>
    <w:rsid w:val="001115EB"/>
    <w:rsid w:val="00111C4D"/>
    <w:rsid w:val="00111E57"/>
    <w:rsid w:val="00112C5D"/>
    <w:rsid w:val="0011308A"/>
    <w:rsid w:val="00113140"/>
    <w:rsid w:val="001131C2"/>
    <w:rsid w:val="001132E1"/>
    <w:rsid w:val="001134A4"/>
    <w:rsid w:val="001134CA"/>
    <w:rsid w:val="00113527"/>
    <w:rsid w:val="00113985"/>
    <w:rsid w:val="00113A7A"/>
    <w:rsid w:val="00113C96"/>
    <w:rsid w:val="00114044"/>
    <w:rsid w:val="0011412D"/>
    <w:rsid w:val="00114966"/>
    <w:rsid w:val="00114976"/>
    <w:rsid w:val="00114DDA"/>
    <w:rsid w:val="00115308"/>
    <w:rsid w:val="00115B69"/>
    <w:rsid w:val="00116216"/>
    <w:rsid w:val="001163C6"/>
    <w:rsid w:val="001167AD"/>
    <w:rsid w:val="00116879"/>
    <w:rsid w:val="00117925"/>
    <w:rsid w:val="001213EF"/>
    <w:rsid w:val="00121570"/>
    <w:rsid w:val="001217CF"/>
    <w:rsid w:val="00121A5E"/>
    <w:rsid w:val="00121E3D"/>
    <w:rsid w:val="0012217A"/>
    <w:rsid w:val="0012218C"/>
    <w:rsid w:val="0012235E"/>
    <w:rsid w:val="00122EB0"/>
    <w:rsid w:val="001235AC"/>
    <w:rsid w:val="0012442C"/>
    <w:rsid w:val="0012452D"/>
    <w:rsid w:val="00124769"/>
    <w:rsid w:val="00125935"/>
    <w:rsid w:val="001264A7"/>
    <w:rsid w:val="0012670D"/>
    <w:rsid w:val="00126858"/>
    <w:rsid w:val="00126E6D"/>
    <w:rsid w:val="001274EE"/>
    <w:rsid w:val="00127753"/>
    <w:rsid w:val="00127EE1"/>
    <w:rsid w:val="00130739"/>
    <w:rsid w:val="001312BE"/>
    <w:rsid w:val="001315D9"/>
    <w:rsid w:val="0013195D"/>
    <w:rsid w:val="00131A4A"/>
    <w:rsid w:val="00131C91"/>
    <w:rsid w:val="001331D9"/>
    <w:rsid w:val="00133570"/>
    <w:rsid w:val="001337DA"/>
    <w:rsid w:val="00133AB0"/>
    <w:rsid w:val="00133EB0"/>
    <w:rsid w:val="00133F93"/>
    <w:rsid w:val="00134261"/>
    <w:rsid w:val="00134DBD"/>
    <w:rsid w:val="00134E88"/>
    <w:rsid w:val="0013528E"/>
    <w:rsid w:val="0013535D"/>
    <w:rsid w:val="001353BF"/>
    <w:rsid w:val="00135624"/>
    <w:rsid w:val="001362C4"/>
    <w:rsid w:val="00137178"/>
    <w:rsid w:val="00137810"/>
    <w:rsid w:val="00137CBD"/>
    <w:rsid w:val="00137E38"/>
    <w:rsid w:val="00137EEA"/>
    <w:rsid w:val="00141326"/>
    <w:rsid w:val="001414C9"/>
    <w:rsid w:val="0014219D"/>
    <w:rsid w:val="00142463"/>
    <w:rsid w:val="00142674"/>
    <w:rsid w:val="00142E47"/>
    <w:rsid w:val="0014362E"/>
    <w:rsid w:val="0014372E"/>
    <w:rsid w:val="001438FF"/>
    <w:rsid w:val="00143DBA"/>
    <w:rsid w:val="00145BB8"/>
    <w:rsid w:val="00145FD2"/>
    <w:rsid w:val="0014648B"/>
    <w:rsid w:val="00146728"/>
    <w:rsid w:val="00146766"/>
    <w:rsid w:val="00146DAC"/>
    <w:rsid w:val="00146E3D"/>
    <w:rsid w:val="00147262"/>
    <w:rsid w:val="00147BAE"/>
    <w:rsid w:val="00147DDE"/>
    <w:rsid w:val="00147EE9"/>
    <w:rsid w:val="00150960"/>
    <w:rsid w:val="00150BC5"/>
    <w:rsid w:val="00150FB8"/>
    <w:rsid w:val="001513BC"/>
    <w:rsid w:val="00151539"/>
    <w:rsid w:val="00151767"/>
    <w:rsid w:val="00151B8C"/>
    <w:rsid w:val="00151DD4"/>
    <w:rsid w:val="00151EDF"/>
    <w:rsid w:val="001528B1"/>
    <w:rsid w:val="00152A04"/>
    <w:rsid w:val="00152D9B"/>
    <w:rsid w:val="001533C0"/>
    <w:rsid w:val="00153FFC"/>
    <w:rsid w:val="00154478"/>
    <w:rsid w:val="001544EB"/>
    <w:rsid w:val="001562B2"/>
    <w:rsid w:val="001568ED"/>
    <w:rsid w:val="00156BF5"/>
    <w:rsid w:val="00160111"/>
    <w:rsid w:val="001602A4"/>
    <w:rsid w:val="00160474"/>
    <w:rsid w:val="00161041"/>
    <w:rsid w:val="00161499"/>
    <w:rsid w:val="00161EEA"/>
    <w:rsid w:val="00162C03"/>
    <w:rsid w:val="00162F8A"/>
    <w:rsid w:val="0016368A"/>
    <w:rsid w:val="001637F6"/>
    <w:rsid w:val="00163EEA"/>
    <w:rsid w:val="0016401F"/>
    <w:rsid w:val="001648F4"/>
    <w:rsid w:val="001655B1"/>
    <w:rsid w:val="0016625A"/>
    <w:rsid w:val="00166D0C"/>
    <w:rsid w:val="001670CC"/>
    <w:rsid w:val="00167348"/>
    <w:rsid w:val="00167C7C"/>
    <w:rsid w:val="00170043"/>
    <w:rsid w:val="00170294"/>
    <w:rsid w:val="0017049E"/>
    <w:rsid w:val="001706F3"/>
    <w:rsid w:val="001707C6"/>
    <w:rsid w:val="00170808"/>
    <w:rsid w:val="00171703"/>
    <w:rsid w:val="0017174F"/>
    <w:rsid w:val="00171B6B"/>
    <w:rsid w:val="001727EA"/>
    <w:rsid w:val="00172AD1"/>
    <w:rsid w:val="00172E52"/>
    <w:rsid w:val="00172E78"/>
    <w:rsid w:val="00173651"/>
    <w:rsid w:val="0017597C"/>
    <w:rsid w:val="00175AFD"/>
    <w:rsid w:val="0017606B"/>
    <w:rsid w:val="001764D7"/>
    <w:rsid w:val="0017699B"/>
    <w:rsid w:val="0017700E"/>
    <w:rsid w:val="00177112"/>
    <w:rsid w:val="00177454"/>
    <w:rsid w:val="00177AE3"/>
    <w:rsid w:val="001800EE"/>
    <w:rsid w:val="0018040E"/>
    <w:rsid w:val="00180D71"/>
    <w:rsid w:val="00182097"/>
    <w:rsid w:val="00182379"/>
    <w:rsid w:val="0018307B"/>
    <w:rsid w:val="001837F4"/>
    <w:rsid w:val="001843F9"/>
    <w:rsid w:val="00184944"/>
    <w:rsid w:val="00184F67"/>
    <w:rsid w:val="001850B5"/>
    <w:rsid w:val="0018573D"/>
    <w:rsid w:val="00185E5E"/>
    <w:rsid w:val="00185F86"/>
    <w:rsid w:val="001865EF"/>
    <w:rsid w:val="001875F6"/>
    <w:rsid w:val="00187B5C"/>
    <w:rsid w:val="00187BB3"/>
    <w:rsid w:val="001901B8"/>
    <w:rsid w:val="001906C3"/>
    <w:rsid w:val="00190D01"/>
    <w:rsid w:val="00191CD3"/>
    <w:rsid w:val="00191D12"/>
    <w:rsid w:val="001935E8"/>
    <w:rsid w:val="00193B5C"/>
    <w:rsid w:val="001941D9"/>
    <w:rsid w:val="001943B6"/>
    <w:rsid w:val="0019531F"/>
    <w:rsid w:val="00196D84"/>
    <w:rsid w:val="00196EFA"/>
    <w:rsid w:val="00196F3C"/>
    <w:rsid w:val="001A062F"/>
    <w:rsid w:val="001A0761"/>
    <w:rsid w:val="001A09EF"/>
    <w:rsid w:val="001A0D1C"/>
    <w:rsid w:val="001A18BE"/>
    <w:rsid w:val="001A1D58"/>
    <w:rsid w:val="001A1E48"/>
    <w:rsid w:val="001A2DD0"/>
    <w:rsid w:val="001A3284"/>
    <w:rsid w:val="001A38FF"/>
    <w:rsid w:val="001A3CFD"/>
    <w:rsid w:val="001A3DED"/>
    <w:rsid w:val="001A412C"/>
    <w:rsid w:val="001A4C9E"/>
    <w:rsid w:val="001A4DEE"/>
    <w:rsid w:val="001A55F4"/>
    <w:rsid w:val="001A578F"/>
    <w:rsid w:val="001A63B7"/>
    <w:rsid w:val="001A6D3B"/>
    <w:rsid w:val="001A70F1"/>
    <w:rsid w:val="001A76CD"/>
    <w:rsid w:val="001A7B0B"/>
    <w:rsid w:val="001A7B4F"/>
    <w:rsid w:val="001B06CB"/>
    <w:rsid w:val="001B197F"/>
    <w:rsid w:val="001B1BA1"/>
    <w:rsid w:val="001B2098"/>
    <w:rsid w:val="001B2558"/>
    <w:rsid w:val="001B37CB"/>
    <w:rsid w:val="001B3B3C"/>
    <w:rsid w:val="001B4A7B"/>
    <w:rsid w:val="001B4DB2"/>
    <w:rsid w:val="001B5135"/>
    <w:rsid w:val="001B5FC0"/>
    <w:rsid w:val="001B657D"/>
    <w:rsid w:val="001B6675"/>
    <w:rsid w:val="001B67EB"/>
    <w:rsid w:val="001B6C20"/>
    <w:rsid w:val="001B73AC"/>
    <w:rsid w:val="001B7529"/>
    <w:rsid w:val="001B76E8"/>
    <w:rsid w:val="001B7B05"/>
    <w:rsid w:val="001B7B9A"/>
    <w:rsid w:val="001C166B"/>
    <w:rsid w:val="001C167D"/>
    <w:rsid w:val="001C1D13"/>
    <w:rsid w:val="001C369E"/>
    <w:rsid w:val="001C4BA1"/>
    <w:rsid w:val="001C4E34"/>
    <w:rsid w:val="001C4F6A"/>
    <w:rsid w:val="001C54F8"/>
    <w:rsid w:val="001C5E87"/>
    <w:rsid w:val="001C6815"/>
    <w:rsid w:val="001C776D"/>
    <w:rsid w:val="001D0026"/>
    <w:rsid w:val="001D0C79"/>
    <w:rsid w:val="001D133E"/>
    <w:rsid w:val="001D156A"/>
    <w:rsid w:val="001D1840"/>
    <w:rsid w:val="001D1BFE"/>
    <w:rsid w:val="001D226B"/>
    <w:rsid w:val="001D234F"/>
    <w:rsid w:val="001D26F4"/>
    <w:rsid w:val="001D2FE1"/>
    <w:rsid w:val="001D317D"/>
    <w:rsid w:val="001D3188"/>
    <w:rsid w:val="001D4EF4"/>
    <w:rsid w:val="001D557F"/>
    <w:rsid w:val="001D5932"/>
    <w:rsid w:val="001D59A2"/>
    <w:rsid w:val="001D5DC1"/>
    <w:rsid w:val="001D5F45"/>
    <w:rsid w:val="001D60C4"/>
    <w:rsid w:val="001D6104"/>
    <w:rsid w:val="001D68D6"/>
    <w:rsid w:val="001D734E"/>
    <w:rsid w:val="001D7563"/>
    <w:rsid w:val="001D75EB"/>
    <w:rsid w:val="001D79FA"/>
    <w:rsid w:val="001D7BE4"/>
    <w:rsid w:val="001E0027"/>
    <w:rsid w:val="001E01EB"/>
    <w:rsid w:val="001E0385"/>
    <w:rsid w:val="001E038C"/>
    <w:rsid w:val="001E03B7"/>
    <w:rsid w:val="001E04B0"/>
    <w:rsid w:val="001E0F7C"/>
    <w:rsid w:val="001E271E"/>
    <w:rsid w:val="001E4405"/>
    <w:rsid w:val="001E5759"/>
    <w:rsid w:val="001E58AD"/>
    <w:rsid w:val="001E5EE6"/>
    <w:rsid w:val="001E72A2"/>
    <w:rsid w:val="001E77A2"/>
    <w:rsid w:val="001E7B27"/>
    <w:rsid w:val="001E7F8A"/>
    <w:rsid w:val="001F012A"/>
    <w:rsid w:val="001F13B9"/>
    <w:rsid w:val="001F1529"/>
    <w:rsid w:val="001F1B5E"/>
    <w:rsid w:val="001F1E46"/>
    <w:rsid w:val="001F1FEA"/>
    <w:rsid w:val="001F202D"/>
    <w:rsid w:val="001F2821"/>
    <w:rsid w:val="001F3292"/>
    <w:rsid w:val="001F34FC"/>
    <w:rsid w:val="001F35CE"/>
    <w:rsid w:val="001F3B78"/>
    <w:rsid w:val="001F3EE7"/>
    <w:rsid w:val="001F3F03"/>
    <w:rsid w:val="001F42ED"/>
    <w:rsid w:val="001F474F"/>
    <w:rsid w:val="001F4878"/>
    <w:rsid w:val="001F4A19"/>
    <w:rsid w:val="001F4C9A"/>
    <w:rsid w:val="001F5000"/>
    <w:rsid w:val="001F6023"/>
    <w:rsid w:val="001F6503"/>
    <w:rsid w:val="001F67C7"/>
    <w:rsid w:val="001F6A4E"/>
    <w:rsid w:val="001F6A71"/>
    <w:rsid w:val="001F6C8E"/>
    <w:rsid w:val="001F6CC4"/>
    <w:rsid w:val="001F72DF"/>
    <w:rsid w:val="001F737C"/>
    <w:rsid w:val="001F78E4"/>
    <w:rsid w:val="001F7FAF"/>
    <w:rsid w:val="00200949"/>
    <w:rsid w:val="00200A84"/>
    <w:rsid w:val="00202659"/>
    <w:rsid w:val="00203126"/>
    <w:rsid w:val="00203661"/>
    <w:rsid w:val="00204F61"/>
    <w:rsid w:val="00204FAB"/>
    <w:rsid w:val="00205E8D"/>
    <w:rsid w:val="0020621A"/>
    <w:rsid w:val="0020678A"/>
    <w:rsid w:val="002074F1"/>
    <w:rsid w:val="00210118"/>
    <w:rsid w:val="002107C4"/>
    <w:rsid w:val="00210977"/>
    <w:rsid w:val="00212184"/>
    <w:rsid w:val="00212E4E"/>
    <w:rsid w:val="00212EB0"/>
    <w:rsid w:val="00212F8B"/>
    <w:rsid w:val="00213002"/>
    <w:rsid w:val="002130FF"/>
    <w:rsid w:val="00213420"/>
    <w:rsid w:val="002136FD"/>
    <w:rsid w:val="002138D2"/>
    <w:rsid w:val="00213A46"/>
    <w:rsid w:val="00213C79"/>
    <w:rsid w:val="00213DD0"/>
    <w:rsid w:val="00213E1A"/>
    <w:rsid w:val="00213FB3"/>
    <w:rsid w:val="00214260"/>
    <w:rsid w:val="00214826"/>
    <w:rsid w:val="00214C19"/>
    <w:rsid w:val="00214D05"/>
    <w:rsid w:val="0021583A"/>
    <w:rsid w:val="002158A5"/>
    <w:rsid w:val="00215EAD"/>
    <w:rsid w:val="00215F68"/>
    <w:rsid w:val="002161B3"/>
    <w:rsid w:val="00216704"/>
    <w:rsid w:val="002209AE"/>
    <w:rsid w:val="00221067"/>
    <w:rsid w:val="002210B7"/>
    <w:rsid w:val="0022129E"/>
    <w:rsid w:val="00221ECD"/>
    <w:rsid w:val="0022206F"/>
    <w:rsid w:val="0022270B"/>
    <w:rsid w:val="00222BD9"/>
    <w:rsid w:val="002235DD"/>
    <w:rsid w:val="002239F3"/>
    <w:rsid w:val="00224598"/>
    <w:rsid w:val="00224C00"/>
    <w:rsid w:val="00224DCD"/>
    <w:rsid w:val="002256C3"/>
    <w:rsid w:val="00225817"/>
    <w:rsid w:val="002258DC"/>
    <w:rsid w:val="0022648E"/>
    <w:rsid w:val="002264CA"/>
    <w:rsid w:val="002265D2"/>
    <w:rsid w:val="0022704D"/>
    <w:rsid w:val="002270E5"/>
    <w:rsid w:val="0022746F"/>
    <w:rsid w:val="002278C0"/>
    <w:rsid w:val="002278EA"/>
    <w:rsid w:val="00227E9C"/>
    <w:rsid w:val="002302F7"/>
    <w:rsid w:val="002310D1"/>
    <w:rsid w:val="00231221"/>
    <w:rsid w:val="002315C3"/>
    <w:rsid w:val="00231728"/>
    <w:rsid w:val="002319FE"/>
    <w:rsid w:val="00232A47"/>
    <w:rsid w:val="00232D73"/>
    <w:rsid w:val="00232DA7"/>
    <w:rsid w:val="002335C6"/>
    <w:rsid w:val="00234281"/>
    <w:rsid w:val="002345F0"/>
    <w:rsid w:val="002347A8"/>
    <w:rsid w:val="002348EB"/>
    <w:rsid w:val="00234CDB"/>
    <w:rsid w:val="0023504B"/>
    <w:rsid w:val="0023583A"/>
    <w:rsid w:val="00235F2B"/>
    <w:rsid w:val="00236CD8"/>
    <w:rsid w:val="00236EA2"/>
    <w:rsid w:val="0023760A"/>
    <w:rsid w:val="00237714"/>
    <w:rsid w:val="00237AAB"/>
    <w:rsid w:val="00237E28"/>
    <w:rsid w:val="00240C6B"/>
    <w:rsid w:val="00240DD0"/>
    <w:rsid w:val="00241112"/>
    <w:rsid w:val="0024164F"/>
    <w:rsid w:val="00241A47"/>
    <w:rsid w:val="00242049"/>
    <w:rsid w:val="00242F07"/>
    <w:rsid w:val="002444B3"/>
    <w:rsid w:val="00244825"/>
    <w:rsid w:val="00244865"/>
    <w:rsid w:val="00244DAE"/>
    <w:rsid w:val="0024520A"/>
    <w:rsid w:val="002453DD"/>
    <w:rsid w:val="00246120"/>
    <w:rsid w:val="002465DA"/>
    <w:rsid w:val="002470D8"/>
    <w:rsid w:val="002470E3"/>
    <w:rsid w:val="00247124"/>
    <w:rsid w:val="002471EF"/>
    <w:rsid w:val="00247539"/>
    <w:rsid w:val="00247D88"/>
    <w:rsid w:val="002501DF"/>
    <w:rsid w:val="00250560"/>
    <w:rsid w:val="00250888"/>
    <w:rsid w:val="00250A95"/>
    <w:rsid w:val="00250B5E"/>
    <w:rsid w:val="002513A4"/>
    <w:rsid w:val="00251606"/>
    <w:rsid w:val="00251736"/>
    <w:rsid w:val="002517B9"/>
    <w:rsid w:val="002518A4"/>
    <w:rsid w:val="002524A1"/>
    <w:rsid w:val="002524E0"/>
    <w:rsid w:val="002526E1"/>
    <w:rsid w:val="00253340"/>
    <w:rsid w:val="0025390C"/>
    <w:rsid w:val="00253CE0"/>
    <w:rsid w:val="00253E8D"/>
    <w:rsid w:val="00253EBB"/>
    <w:rsid w:val="002540BA"/>
    <w:rsid w:val="00254D2D"/>
    <w:rsid w:val="00254F0B"/>
    <w:rsid w:val="0025525F"/>
    <w:rsid w:val="0025528D"/>
    <w:rsid w:val="00255770"/>
    <w:rsid w:val="00255E66"/>
    <w:rsid w:val="00256340"/>
    <w:rsid w:val="0025685C"/>
    <w:rsid w:val="00256B4E"/>
    <w:rsid w:val="002600B7"/>
    <w:rsid w:val="00261660"/>
    <w:rsid w:val="002620C1"/>
    <w:rsid w:val="00263795"/>
    <w:rsid w:val="00263FB5"/>
    <w:rsid w:val="002651F8"/>
    <w:rsid w:val="00265714"/>
    <w:rsid w:val="002662FE"/>
    <w:rsid w:val="00267359"/>
    <w:rsid w:val="002700A2"/>
    <w:rsid w:val="00270CDF"/>
    <w:rsid w:val="0027132C"/>
    <w:rsid w:val="002713DC"/>
    <w:rsid w:val="0027295C"/>
    <w:rsid w:val="00272B7A"/>
    <w:rsid w:val="00272E96"/>
    <w:rsid w:val="00275404"/>
    <w:rsid w:val="0027553C"/>
    <w:rsid w:val="002755EA"/>
    <w:rsid w:val="00275809"/>
    <w:rsid w:val="00275FEB"/>
    <w:rsid w:val="00276E22"/>
    <w:rsid w:val="00276F8A"/>
    <w:rsid w:val="00277007"/>
    <w:rsid w:val="002771E4"/>
    <w:rsid w:val="002774A0"/>
    <w:rsid w:val="002776C1"/>
    <w:rsid w:val="00277CEE"/>
    <w:rsid w:val="00277DA9"/>
    <w:rsid w:val="00277DC8"/>
    <w:rsid w:val="00280286"/>
    <w:rsid w:val="00280405"/>
    <w:rsid w:val="00280783"/>
    <w:rsid w:val="002814A6"/>
    <w:rsid w:val="0028236A"/>
    <w:rsid w:val="00282990"/>
    <w:rsid w:val="002834B0"/>
    <w:rsid w:val="002836AA"/>
    <w:rsid w:val="00283F18"/>
    <w:rsid w:val="0028407E"/>
    <w:rsid w:val="0028421B"/>
    <w:rsid w:val="00284370"/>
    <w:rsid w:val="00284A1E"/>
    <w:rsid w:val="00284D34"/>
    <w:rsid w:val="0028512E"/>
    <w:rsid w:val="002854B6"/>
    <w:rsid w:val="00285C86"/>
    <w:rsid w:val="00286477"/>
    <w:rsid w:val="00286EA8"/>
    <w:rsid w:val="00287534"/>
    <w:rsid w:val="002875BE"/>
    <w:rsid w:val="0029054E"/>
    <w:rsid w:val="0029058D"/>
    <w:rsid w:val="00290602"/>
    <w:rsid w:val="002906EA"/>
    <w:rsid w:val="00290B58"/>
    <w:rsid w:val="002910D8"/>
    <w:rsid w:val="00291D90"/>
    <w:rsid w:val="0029219D"/>
    <w:rsid w:val="0029292A"/>
    <w:rsid w:val="0029350A"/>
    <w:rsid w:val="00293F9E"/>
    <w:rsid w:val="00294696"/>
    <w:rsid w:val="002946AE"/>
    <w:rsid w:val="002956E4"/>
    <w:rsid w:val="0029583B"/>
    <w:rsid w:val="00295B39"/>
    <w:rsid w:val="0029631D"/>
    <w:rsid w:val="0029694D"/>
    <w:rsid w:val="00297BC1"/>
    <w:rsid w:val="002A0363"/>
    <w:rsid w:val="002A0CBD"/>
    <w:rsid w:val="002A13D6"/>
    <w:rsid w:val="002A17E2"/>
    <w:rsid w:val="002A384D"/>
    <w:rsid w:val="002A3B3F"/>
    <w:rsid w:val="002A4863"/>
    <w:rsid w:val="002A491E"/>
    <w:rsid w:val="002A4D99"/>
    <w:rsid w:val="002A697B"/>
    <w:rsid w:val="002A6A11"/>
    <w:rsid w:val="002B00DF"/>
    <w:rsid w:val="002B0434"/>
    <w:rsid w:val="002B06A1"/>
    <w:rsid w:val="002B095C"/>
    <w:rsid w:val="002B0B58"/>
    <w:rsid w:val="002B0CCB"/>
    <w:rsid w:val="002B0F70"/>
    <w:rsid w:val="002B15A7"/>
    <w:rsid w:val="002B17F2"/>
    <w:rsid w:val="002B39B8"/>
    <w:rsid w:val="002B426B"/>
    <w:rsid w:val="002B43FA"/>
    <w:rsid w:val="002B4B79"/>
    <w:rsid w:val="002B4F9C"/>
    <w:rsid w:val="002B4FD5"/>
    <w:rsid w:val="002B5161"/>
    <w:rsid w:val="002B58A9"/>
    <w:rsid w:val="002B5C28"/>
    <w:rsid w:val="002B6138"/>
    <w:rsid w:val="002B61CB"/>
    <w:rsid w:val="002B6258"/>
    <w:rsid w:val="002B6512"/>
    <w:rsid w:val="002B65CA"/>
    <w:rsid w:val="002B75DC"/>
    <w:rsid w:val="002C0B4C"/>
    <w:rsid w:val="002C0D36"/>
    <w:rsid w:val="002C0EA1"/>
    <w:rsid w:val="002C1448"/>
    <w:rsid w:val="002C213D"/>
    <w:rsid w:val="002C2CB8"/>
    <w:rsid w:val="002C3E69"/>
    <w:rsid w:val="002C441F"/>
    <w:rsid w:val="002C4D2A"/>
    <w:rsid w:val="002C5236"/>
    <w:rsid w:val="002C5B29"/>
    <w:rsid w:val="002C5C72"/>
    <w:rsid w:val="002C673E"/>
    <w:rsid w:val="002C69FD"/>
    <w:rsid w:val="002C7A54"/>
    <w:rsid w:val="002C7CAF"/>
    <w:rsid w:val="002D04F5"/>
    <w:rsid w:val="002D0B2C"/>
    <w:rsid w:val="002D10C5"/>
    <w:rsid w:val="002D178D"/>
    <w:rsid w:val="002D1CC4"/>
    <w:rsid w:val="002D3219"/>
    <w:rsid w:val="002D3270"/>
    <w:rsid w:val="002D3672"/>
    <w:rsid w:val="002D378B"/>
    <w:rsid w:val="002D39F1"/>
    <w:rsid w:val="002D3A90"/>
    <w:rsid w:val="002D3F51"/>
    <w:rsid w:val="002D4597"/>
    <w:rsid w:val="002D45BD"/>
    <w:rsid w:val="002D467D"/>
    <w:rsid w:val="002D4DF0"/>
    <w:rsid w:val="002D5A46"/>
    <w:rsid w:val="002D61A4"/>
    <w:rsid w:val="002D64EB"/>
    <w:rsid w:val="002D6730"/>
    <w:rsid w:val="002D6ADF"/>
    <w:rsid w:val="002D6BE2"/>
    <w:rsid w:val="002D7096"/>
    <w:rsid w:val="002D71CB"/>
    <w:rsid w:val="002D7329"/>
    <w:rsid w:val="002D7A93"/>
    <w:rsid w:val="002D7C6D"/>
    <w:rsid w:val="002E03FD"/>
    <w:rsid w:val="002E1D08"/>
    <w:rsid w:val="002E1DBF"/>
    <w:rsid w:val="002E2E63"/>
    <w:rsid w:val="002E32BB"/>
    <w:rsid w:val="002E358A"/>
    <w:rsid w:val="002E44CA"/>
    <w:rsid w:val="002E5025"/>
    <w:rsid w:val="002E5579"/>
    <w:rsid w:val="002E5B30"/>
    <w:rsid w:val="002E6843"/>
    <w:rsid w:val="002E7060"/>
    <w:rsid w:val="002E7A34"/>
    <w:rsid w:val="002F04E6"/>
    <w:rsid w:val="002F050C"/>
    <w:rsid w:val="002F13EB"/>
    <w:rsid w:val="002F1898"/>
    <w:rsid w:val="002F1A87"/>
    <w:rsid w:val="002F1E11"/>
    <w:rsid w:val="002F2184"/>
    <w:rsid w:val="002F2269"/>
    <w:rsid w:val="002F2BF4"/>
    <w:rsid w:val="002F3131"/>
    <w:rsid w:val="002F3370"/>
    <w:rsid w:val="002F39B7"/>
    <w:rsid w:val="002F3D40"/>
    <w:rsid w:val="002F5A6C"/>
    <w:rsid w:val="002F6052"/>
    <w:rsid w:val="002F64E1"/>
    <w:rsid w:val="002F668D"/>
    <w:rsid w:val="002F6E58"/>
    <w:rsid w:val="002F7428"/>
    <w:rsid w:val="002F77AF"/>
    <w:rsid w:val="002F7A4D"/>
    <w:rsid w:val="0030108A"/>
    <w:rsid w:val="00301C44"/>
    <w:rsid w:val="00301FA2"/>
    <w:rsid w:val="0030246F"/>
    <w:rsid w:val="0030291A"/>
    <w:rsid w:val="003033B8"/>
    <w:rsid w:val="003040AA"/>
    <w:rsid w:val="00304396"/>
    <w:rsid w:val="0030479E"/>
    <w:rsid w:val="0030544B"/>
    <w:rsid w:val="003056A6"/>
    <w:rsid w:val="003059B0"/>
    <w:rsid w:val="00305DB4"/>
    <w:rsid w:val="00306B54"/>
    <w:rsid w:val="0030740E"/>
    <w:rsid w:val="00307D24"/>
    <w:rsid w:val="00310502"/>
    <w:rsid w:val="003112E0"/>
    <w:rsid w:val="00311BDD"/>
    <w:rsid w:val="00311D74"/>
    <w:rsid w:val="0031219B"/>
    <w:rsid w:val="00312374"/>
    <w:rsid w:val="00312595"/>
    <w:rsid w:val="00312A21"/>
    <w:rsid w:val="00312B03"/>
    <w:rsid w:val="00313EDE"/>
    <w:rsid w:val="003147C5"/>
    <w:rsid w:val="0031507F"/>
    <w:rsid w:val="0031596D"/>
    <w:rsid w:val="00315B20"/>
    <w:rsid w:val="00315C33"/>
    <w:rsid w:val="0031627E"/>
    <w:rsid w:val="003164A3"/>
    <w:rsid w:val="003166E8"/>
    <w:rsid w:val="00316B51"/>
    <w:rsid w:val="00317FC6"/>
    <w:rsid w:val="003202D2"/>
    <w:rsid w:val="0032052E"/>
    <w:rsid w:val="003205FA"/>
    <w:rsid w:val="00320F48"/>
    <w:rsid w:val="0032172B"/>
    <w:rsid w:val="0032225F"/>
    <w:rsid w:val="00323213"/>
    <w:rsid w:val="00326EA6"/>
    <w:rsid w:val="003270C1"/>
    <w:rsid w:val="00327FEA"/>
    <w:rsid w:val="003302F6"/>
    <w:rsid w:val="003303C6"/>
    <w:rsid w:val="003304A0"/>
    <w:rsid w:val="0033116B"/>
    <w:rsid w:val="00331D96"/>
    <w:rsid w:val="00331E9D"/>
    <w:rsid w:val="00332737"/>
    <w:rsid w:val="003335F1"/>
    <w:rsid w:val="003338AE"/>
    <w:rsid w:val="00334384"/>
    <w:rsid w:val="003344B9"/>
    <w:rsid w:val="00335A08"/>
    <w:rsid w:val="00336714"/>
    <w:rsid w:val="00336E9A"/>
    <w:rsid w:val="003370DA"/>
    <w:rsid w:val="00337C70"/>
    <w:rsid w:val="0034038A"/>
    <w:rsid w:val="003403C8"/>
    <w:rsid w:val="003405F7"/>
    <w:rsid w:val="003411CC"/>
    <w:rsid w:val="0034177C"/>
    <w:rsid w:val="003419D0"/>
    <w:rsid w:val="00342E8E"/>
    <w:rsid w:val="00343673"/>
    <w:rsid w:val="00343A65"/>
    <w:rsid w:val="00343EF6"/>
    <w:rsid w:val="0034407B"/>
    <w:rsid w:val="003447D6"/>
    <w:rsid w:val="00344D0A"/>
    <w:rsid w:val="003456EC"/>
    <w:rsid w:val="003457A4"/>
    <w:rsid w:val="00345A47"/>
    <w:rsid w:val="00345F8D"/>
    <w:rsid w:val="003460E7"/>
    <w:rsid w:val="00346339"/>
    <w:rsid w:val="003464D3"/>
    <w:rsid w:val="00346578"/>
    <w:rsid w:val="0034735E"/>
    <w:rsid w:val="003517CA"/>
    <w:rsid w:val="00351AE5"/>
    <w:rsid w:val="00351D97"/>
    <w:rsid w:val="00352480"/>
    <w:rsid w:val="00352481"/>
    <w:rsid w:val="003524C3"/>
    <w:rsid w:val="00352BC5"/>
    <w:rsid w:val="00352D40"/>
    <w:rsid w:val="00352F19"/>
    <w:rsid w:val="0035348D"/>
    <w:rsid w:val="00353633"/>
    <w:rsid w:val="00353C6B"/>
    <w:rsid w:val="0035499E"/>
    <w:rsid w:val="003550F3"/>
    <w:rsid w:val="003554DB"/>
    <w:rsid w:val="003562C4"/>
    <w:rsid w:val="003564BB"/>
    <w:rsid w:val="003565B6"/>
    <w:rsid w:val="00356B63"/>
    <w:rsid w:val="00356EDB"/>
    <w:rsid w:val="00356F96"/>
    <w:rsid w:val="0036051B"/>
    <w:rsid w:val="0036194A"/>
    <w:rsid w:val="0036262C"/>
    <w:rsid w:val="00362DE6"/>
    <w:rsid w:val="00363234"/>
    <w:rsid w:val="003639B5"/>
    <w:rsid w:val="00363C37"/>
    <w:rsid w:val="00363C45"/>
    <w:rsid w:val="00364436"/>
    <w:rsid w:val="003645CC"/>
    <w:rsid w:val="00365222"/>
    <w:rsid w:val="003655F2"/>
    <w:rsid w:val="0036589B"/>
    <w:rsid w:val="0036642A"/>
    <w:rsid w:val="00366FA7"/>
    <w:rsid w:val="0036711C"/>
    <w:rsid w:val="00367708"/>
    <w:rsid w:val="0036771A"/>
    <w:rsid w:val="00367819"/>
    <w:rsid w:val="00367A62"/>
    <w:rsid w:val="00367F2C"/>
    <w:rsid w:val="0037027F"/>
    <w:rsid w:val="003702B1"/>
    <w:rsid w:val="00370CAC"/>
    <w:rsid w:val="0037199B"/>
    <w:rsid w:val="00371B6B"/>
    <w:rsid w:val="0037208A"/>
    <w:rsid w:val="00372105"/>
    <w:rsid w:val="00372245"/>
    <w:rsid w:val="00372318"/>
    <w:rsid w:val="00372A45"/>
    <w:rsid w:val="00373126"/>
    <w:rsid w:val="003737C4"/>
    <w:rsid w:val="00375E8B"/>
    <w:rsid w:val="0037663B"/>
    <w:rsid w:val="00376DA4"/>
    <w:rsid w:val="0037709E"/>
    <w:rsid w:val="0037720F"/>
    <w:rsid w:val="00377665"/>
    <w:rsid w:val="00377C9E"/>
    <w:rsid w:val="00377DBD"/>
    <w:rsid w:val="00380116"/>
    <w:rsid w:val="003801D0"/>
    <w:rsid w:val="00380394"/>
    <w:rsid w:val="0038045F"/>
    <w:rsid w:val="0038070D"/>
    <w:rsid w:val="00380820"/>
    <w:rsid w:val="00380C56"/>
    <w:rsid w:val="00382F51"/>
    <w:rsid w:val="0038415A"/>
    <w:rsid w:val="003843BB"/>
    <w:rsid w:val="00384C98"/>
    <w:rsid w:val="00385DBD"/>
    <w:rsid w:val="003865FD"/>
    <w:rsid w:val="00386ED1"/>
    <w:rsid w:val="00387014"/>
    <w:rsid w:val="003876C9"/>
    <w:rsid w:val="0038789D"/>
    <w:rsid w:val="00390691"/>
    <w:rsid w:val="003909B9"/>
    <w:rsid w:val="00390CA1"/>
    <w:rsid w:val="0039119C"/>
    <w:rsid w:val="00393363"/>
    <w:rsid w:val="00393598"/>
    <w:rsid w:val="003936D1"/>
    <w:rsid w:val="00393899"/>
    <w:rsid w:val="00394101"/>
    <w:rsid w:val="003943B6"/>
    <w:rsid w:val="003945ED"/>
    <w:rsid w:val="00394F5D"/>
    <w:rsid w:val="00395A65"/>
    <w:rsid w:val="00395DE8"/>
    <w:rsid w:val="00396690"/>
    <w:rsid w:val="003978C6"/>
    <w:rsid w:val="00397A56"/>
    <w:rsid w:val="003A0356"/>
    <w:rsid w:val="003A0399"/>
    <w:rsid w:val="003A0D3C"/>
    <w:rsid w:val="003A10CE"/>
    <w:rsid w:val="003A12C6"/>
    <w:rsid w:val="003A1B20"/>
    <w:rsid w:val="003A1BFF"/>
    <w:rsid w:val="003A1FCA"/>
    <w:rsid w:val="003A289F"/>
    <w:rsid w:val="003A2C1E"/>
    <w:rsid w:val="003A3767"/>
    <w:rsid w:val="003A39EF"/>
    <w:rsid w:val="003A3E16"/>
    <w:rsid w:val="003A44F7"/>
    <w:rsid w:val="003A4D35"/>
    <w:rsid w:val="003A5209"/>
    <w:rsid w:val="003A55FB"/>
    <w:rsid w:val="003A5A34"/>
    <w:rsid w:val="003A615B"/>
    <w:rsid w:val="003A6167"/>
    <w:rsid w:val="003A6341"/>
    <w:rsid w:val="003A6524"/>
    <w:rsid w:val="003A6729"/>
    <w:rsid w:val="003A705F"/>
    <w:rsid w:val="003A70F3"/>
    <w:rsid w:val="003A7A99"/>
    <w:rsid w:val="003A7F30"/>
    <w:rsid w:val="003B0058"/>
    <w:rsid w:val="003B11C9"/>
    <w:rsid w:val="003B1BC5"/>
    <w:rsid w:val="003B206B"/>
    <w:rsid w:val="003B2552"/>
    <w:rsid w:val="003B2554"/>
    <w:rsid w:val="003B2C8E"/>
    <w:rsid w:val="003B41A9"/>
    <w:rsid w:val="003B41B8"/>
    <w:rsid w:val="003B443E"/>
    <w:rsid w:val="003B44FD"/>
    <w:rsid w:val="003B4628"/>
    <w:rsid w:val="003B472A"/>
    <w:rsid w:val="003B476D"/>
    <w:rsid w:val="003B4C30"/>
    <w:rsid w:val="003B628F"/>
    <w:rsid w:val="003B69AD"/>
    <w:rsid w:val="003B6DD4"/>
    <w:rsid w:val="003B727E"/>
    <w:rsid w:val="003B7F5C"/>
    <w:rsid w:val="003C01B0"/>
    <w:rsid w:val="003C03A9"/>
    <w:rsid w:val="003C09BB"/>
    <w:rsid w:val="003C0D73"/>
    <w:rsid w:val="003C11AB"/>
    <w:rsid w:val="003C164B"/>
    <w:rsid w:val="003C16D0"/>
    <w:rsid w:val="003C31D3"/>
    <w:rsid w:val="003C38FD"/>
    <w:rsid w:val="003C39EF"/>
    <w:rsid w:val="003C42E9"/>
    <w:rsid w:val="003C47CE"/>
    <w:rsid w:val="003C5D8B"/>
    <w:rsid w:val="003C5DB1"/>
    <w:rsid w:val="003C710B"/>
    <w:rsid w:val="003C7593"/>
    <w:rsid w:val="003D1711"/>
    <w:rsid w:val="003D2DAE"/>
    <w:rsid w:val="003D358F"/>
    <w:rsid w:val="003D418D"/>
    <w:rsid w:val="003D4E80"/>
    <w:rsid w:val="003D57AD"/>
    <w:rsid w:val="003D58A0"/>
    <w:rsid w:val="003D5ECD"/>
    <w:rsid w:val="003D691F"/>
    <w:rsid w:val="003D6E0F"/>
    <w:rsid w:val="003D7240"/>
    <w:rsid w:val="003D73E2"/>
    <w:rsid w:val="003E04A2"/>
    <w:rsid w:val="003E1213"/>
    <w:rsid w:val="003E1E49"/>
    <w:rsid w:val="003E2188"/>
    <w:rsid w:val="003E2540"/>
    <w:rsid w:val="003E2E3C"/>
    <w:rsid w:val="003E3C09"/>
    <w:rsid w:val="003E3E1D"/>
    <w:rsid w:val="003E4719"/>
    <w:rsid w:val="003E4D0B"/>
    <w:rsid w:val="003E5BF5"/>
    <w:rsid w:val="003E5C1B"/>
    <w:rsid w:val="003E5CC9"/>
    <w:rsid w:val="003E6452"/>
    <w:rsid w:val="003E7A31"/>
    <w:rsid w:val="003E7E25"/>
    <w:rsid w:val="003F039E"/>
    <w:rsid w:val="003F05C4"/>
    <w:rsid w:val="003F0AFC"/>
    <w:rsid w:val="003F109E"/>
    <w:rsid w:val="003F1DF1"/>
    <w:rsid w:val="003F21D6"/>
    <w:rsid w:val="003F2313"/>
    <w:rsid w:val="003F2767"/>
    <w:rsid w:val="003F2984"/>
    <w:rsid w:val="003F2E48"/>
    <w:rsid w:val="003F41DF"/>
    <w:rsid w:val="003F4D73"/>
    <w:rsid w:val="003F4DCD"/>
    <w:rsid w:val="003F54EA"/>
    <w:rsid w:val="003F5A4C"/>
    <w:rsid w:val="003F5BAF"/>
    <w:rsid w:val="003F5D8E"/>
    <w:rsid w:val="003F6117"/>
    <w:rsid w:val="003F6652"/>
    <w:rsid w:val="003F6A2B"/>
    <w:rsid w:val="003F7F9E"/>
    <w:rsid w:val="00400477"/>
    <w:rsid w:val="00400ACA"/>
    <w:rsid w:val="00401613"/>
    <w:rsid w:val="00402360"/>
    <w:rsid w:val="00402B87"/>
    <w:rsid w:val="00402D06"/>
    <w:rsid w:val="00402EDF"/>
    <w:rsid w:val="00402F5F"/>
    <w:rsid w:val="00403619"/>
    <w:rsid w:val="004040F4"/>
    <w:rsid w:val="00404674"/>
    <w:rsid w:val="004052F9"/>
    <w:rsid w:val="00406264"/>
    <w:rsid w:val="004069A8"/>
    <w:rsid w:val="0040746B"/>
    <w:rsid w:val="0040795A"/>
    <w:rsid w:val="00407A86"/>
    <w:rsid w:val="00410774"/>
    <w:rsid w:val="00410863"/>
    <w:rsid w:val="00411303"/>
    <w:rsid w:val="004117FB"/>
    <w:rsid w:val="004123BD"/>
    <w:rsid w:val="00413154"/>
    <w:rsid w:val="00413287"/>
    <w:rsid w:val="00413910"/>
    <w:rsid w:val="00413DEE"/>
    <w:rsid w:val="0041431C"/>
    <w:rsid w:val="0041469C"/>
    <w:rsid w:val="004148EE"/>
    <w:rsid w:val="00414BCB"/>
    <w:rsid w:val="004157F4"/>
    <w:rsid w:val="00415812"/>
    <w:rsid w:val="00415996"/>
    <w:rsid w:val="00415A4E"/>
    <w:rsid w:val="00415A68"/>
    <w:rsid w:val="00415B0B"/>
    <w:rsid w:val="00415B1F"/>
    <w:rsid w:val="00415F31"/>
    <w:rsid w:val="00416120"/>
    <w:rsid w:val="004167A1"/>
    <w:rsid w:val="00417967"/>
    <w:rsid w:val="00417EE4"/>
    <w:rsid w:val="00417F6A"/>
    <w:rsid w:val="004200BA"/>
    <w:rsid w:val="004203F1"/>
    <w:rsid w:val="00420569"/>
    <w:rsid w:val="00420AC4"/>
    <w:rsid w:val="00420CB1"/>
    <w:rsid w:val="00421905"/>
    <w:rsid w:val="00421913"/>
    <w:rsid w:val="00421EDB"/>
    <w:rsid w:val="00422771"/>
    <w:rsid w:val="00422A58"/>
    <w:rsid w:val="00422DAA"/>
    <w:rsid w:val="00423A27"/>
    <w:rsid w:val="00423A6F"/>
    <w:rsid w:val="00424627"/>
    <w:rsid w:val="00424712"/>
    <w:rsid w:val="00424A86"/>
    <w:rsid w:val="00425380"/>
    <w:rsid w:val="0042653F"/>
    <w:rsid w:val="004266E5"/>
    <w:rsid w:val="00427C02"/>
    <w:rsid w:val="0043082F"/>
    <w:rsid w:val="00430CFB"/>
    <w:rsid w:val="00431F48"/>
    <w:rsid w:val="0043202F"/>
    <w:rsid w:val="00432584"/>
    <w:rsid w:val="004337E7"/>
    <w:rsid w:val="00433DDC"/>
    <w:rsid w:val="004344F8"/>
    <w:rsid w:val="004347DB"/>
    <w:rsid w:val="00434F43"/>
    <w:rsid w:val="00435652"/>
    <w:rsid w:val="00435EB5"/>
    <w:rsid w:val="0043687A"/>
    <w:rsid w:val="0043713C"/>
    <w:rsid w:val="00437254"/>
    <w:rsid w:val="0044022F"/>
    <w:rsid w:val="0044072C"/>
    <w:rsid w:val="004407E7"/>
    <w:rsid w:val="00440C24"/>
    <w:rsid w:val="004412D3"/>
    <w:rsid w:val="0044170B"/>
    <w:rsid w:val="00442308"/>
    <w:rsid w:val="00442988"/>
    <w:rsid w:val="004439AD"/>
    <w:rsid w:val="00443A9C"/>
    <w:rsid w:val="00443E6D"/>
    <w:rsid w:val="004441C2"/>
    <w:rsid w:val="00444442"/>
    <w:rsid w:val="004460CF"/>
    <w:rsid w:val="00447BBD"/>
    <w:rsid w:val="00447D4A"/>
    <w:rsid w:val="00447D81"/>
    <w:rsid w:val="00447FA6"/>
    <w:rsid w:val="0045041F"/>
    <w:rsid w:val="00450558"/>
    <w:rsid w:val="00450DFA"/>
    <w:rsid w:val="00450EFE"/>
    <w:rsid w:val="004515DD"/>
    <w:rsid w:val="00451628"/>
    <w:rsid w:val="00451DDF"/>
    <w:rsid w:val="00452104"/>
    <w:rsid w:val="00452112"/>
    <w:rsid w:val="00452D8C"/>
    <w:rsid w:val="00452FC9"/>
    <w:rsid w:val="00452FF8"/>
    <w:rsid w:val="004534A2"/>
    <w:rsid w:val="004541E7"/>
    <w:rsid w:val="004542C5"/>
    <w:rsid w:val="00454B39"/>
    <w:rsid w:val="00454FE0"/>
    <w:rsid w:val="00455700"/>
    <w:rsid w:val="00455B2F"/>
    <w:rsid w:val="00455C0D"/>
    <w:rsid w:val="00455EAC"/>
    <w:rsid w:val="0045610A"/>
    <w:rsid w:val="004567B5"/>
    <w:rsid w:val="00456831"/>
    <w:rsid w:val="00456AD2"/>
    <w:rsid w:val="00457CD1"/>
    <w:rsid w:val="00460149"/>
    <w:rsid w:val="00460311"/>
    <w:rsid w:val="00460477"/>
    <w:rsid w:val="004604A4"/>
    <w:rsid w:val="0046051C"/>
    <w:rsid w:val="004611B2"/>
    <w:rsid w:val="004627F9"/>
    <w:rsid w:val="004636AB"/>
    <w:rsid w:val="00463ABE"/>
    <w:rsid w:val="004646E3"/>
    <w:rsid w:val="00465A86"/>
    <w:rsid w:val="004667F1"/>
    <w:rsid w:val="00467289"/>
    <w:rsid w:val="004702C5"/>
    <w:rsid w:val="00471128"/>
    <w:rsid w:val="00471D62"/>
    <w:rsid w:val="00471EBB"/>
    <w:rsid w:val="004724B5"/>
    <w:rsid w:val="0047269C"/>
    <w:rsid w:val="004727CC"/>
    <w:rsid w:val="00472817"/>
    <w:rsid w:val="00472891"/>
    <w:rsid w:val="00473724"/>
    <w:rsid w:val="00473D2A"/>
    <w:rsid w:val="00474289"/>
    <w:rsid w:val="00474EB0"/>
    <w:rsid w:val="004751F4"/>
    <w:rsid w:val="004755DB"/>
    <w:rsid w:val="00475819"/>
    <w:rsid w:val="004760A6"/>
    <w:rsid w:val="004765E9"/>
    <w:rsid w:val="004773F7"/>
    <w:rsid w:val="004778F8"/>
    <w:rsid w:val="00480E49"/>
    <w:rsid w:val="004810D8"/>
    <w:rsid w:val="00481430"/>
    <w:rsid w:val="00481CC1"/>
    <w:rsid w:val="00481E6B"/>
    <w:rsid w:val="00481E8C"/>
    <w:rsid w:val="0048205B"/>
    <w:rsid w:val="004823B7"/>
    <w:rsid w:val="004825C3"/>
    <w:rsid w:val="004830EA"/>
    <w:rsid w:val="00483C9F"/>
    <w:rsid w:val="00483E79"/>
    <w:rsid w:val="004854D4"/>
    <w:rsid w:val="00487585"/>
    <w:rsid w:val="0048759C"/>
    <w:rsid w:val="00487A77"/>
    <w:rsid w:val="00487DF7"/>
    <w:rsid w:val="00487F2E"/>
    <w:rsid w:val="0049034C"/>
    <w:rsid w:val="00490474"/>
    <w:rsid w:val="004906EC"/>
    <w:rsid w:val="004908AE"/>
    <w:rsid w:val="0049134D"/>
    <w:rsid w:val="0049145A"/>
    <w:rsid w:val="00491E09"/>
    <w:rsid w:val="00491F0C"/>
    <w:rsid w:val="00491F34"/>
    <w:rsid w:val="00492114"/>
    <w:rsid w:val="0049265C"/>
    <w:rsid w:val="00492666"/>
    <w:rsid w:val="00492BA3"/>
    <w:rsid w:val="0049346E"/>
    <w:rsid w:val="00493CC1"/>
    <w:rsid w:val="00494FFB"/>
    <w:rsid w:val="0049517A"/>
    <w:rsid w:val="004955BA"/>
    <w:rsid w:val="00495D50"/>
    <w:rsid w:val="004967BA"/>
    <w:rsid w:val="00496C10"/>
    <w:rsid w:val="00496D98"/>
    <w:rsid w:val="004A04D6"/>
    <w:rsid w:val="004A089A"/>
    <w:rsid w:val="004A1095"/>
    <w:rsid w:val="004A16B1"/>
    <w:rsid w:val="004A25D8"/>
    <w:rsid w:val="004A2941"/>
    <w:rsid w:val="004A3480"/>
    <w:rsid w:val="004A3D11"/>
    <w:rsid w:val="004A516A"/>
    <w:rsid w:val="004A523E"/>
    <w:rsid w:val="004A68C7"/>
    <w:rsid w:val="004A7D21"/>
    <w:rsid w:val="004B031E"/>
    <w:rsid w:val="004B0EA5"/>
    <w:rsid w:val="004B18F7"/>
    <w:rsid w:val="004B216D"/>
    <w:rsid w:val="004B31A2"/>
    <w:rsid w:val="004B3424"/>
    <w:rsid w:val="004B46A5"/>
    <w:rsid w:val="004B5A59"/>
    <w:rsid w:val="004B5BA0"/>
    <w:rsid w:val="004B60A0"/>
    <w:rsid w:val="004B61DC"/>
    <w:rsid w:val="004B64B8"/>
    <w:rsid w:val="004B6E04"/>
    <w:rsid w:val="004B77C9"/>
    <w:rsid w:val="004B7B47"/>
    <w:rsid w:val="004B7BE7"/>
    <w:rsid w:val="004B7EF3"/>
    <w:rsid w:val="004C0085"/>
    <w:rsid w:val="004C00C7"/>
    <w:rsid w:val="004C0149"/>
    <w:rsid w:val="004C0172"/>
    <w:rsid w:val="004C0610"/>
    <w:rsid w:val="004C0783"/>
    <w:rsid w:val="004C0C23"/>
    <w:rsid w:val="004C0D35"/>
    <w:rsid w:val="004C1381"/>
    <w:rsid w:val="004C170A"/>
    <w:rsid w:val="004C1826"/>
    <w:rsid w:val="004C1CD3"/>
    <w:rsid w:val="004C2469"/>
    <w:rsid w:val="004C272C"/>
    <w:rsid w:val="004C2833"/>
    <w:rsid w:val="004C2979"/>
    <w:rsid w:val="004C2F54"/>
    <w:rsid w:val="004C2F61"/>
    <w:rsid w:val="004C3BC0"/>
    <w:rsid w:val="004C3ECA"/>
    <w:rsid w:val="004C405F"/>
    <w:rsid w:val="004C44A4"/>
    <w:rsid w:val="004C4815"/>
    <w:rsid w:val="004C49A0"/>
    <w:rsid w:val="004C4C3A"/>
    <w:rsid w:val="004C4CE5"/>
    <w:rsid w:val="004C572F"/>
    <w:rsid w:val="004C5BAA"/>
    <w:rsid w:val="004C6038"/>
    <w:rsid w:val="004C686A"/>
    <w:rsid w:val="004C7968"/>
    <w:rsid w:val="004D0437"/>
    <w:rsid w:val="004D0AFA"/>
    <w:rsid w:val="004D18F3"/>
    <w:rsid w:val="004D1BDD"/>
    <w:rsid w:val="004D1D8D"/>
    <w:rsid w:val="004D1FA2"/>
    <w:rsid w:val="004D23B5"/>
    <w:rsid w:val="004D26F6"/>
    <w:rsid w:val="004D31AA"/>
    <w:rsid w:val="004D35AC"/>
    <w:rsid w:val="004D39F4"/>
    <w:rsid w:val="004D3D14"/>
    <w:rsid w:val="004D424D"/>
    <w:rsid w:val="004D4E6F"/>
    <w:rsid w:val="004D4F40"/>
    <w:rsid w:val="004D4FBB"/>
    <w:rsid w:val="004D5295"/>
    <w:rsid w:val="004D557A"/>
    <w:rsid w:val="004D5937"/>
    <w:rsid w:val="004D59D6"/>
    <w:rsid w:val="004D67C3"/>
    <w:rsid w:val="004E0536"/>
    <w:rsid w:val="004E06F0"/>
    <w:rsid w:val="004E0C95"/>
    <w:rsid w:val="004E0DD8"/>
    <w:rsid w:val="004E1030"/>
    <w:rsid w:val="004E2027"/>
    <w:rsid w:val="004E24F2"/>
    <w:rsid w:val="004E2C56"/>
    <w:rsid w:val="004E2DAF"/>
    <w:rsid w:val="004E2E1C"/>
    <w:rsid w:val="004E32A3"/>
    <w:rsid w:val="004E3A4A"/>
    <w:rsid w:val="004E43BF"/>
    <w:rsid w:val="004E488B"/>
    <w:rsid w:val="004E4A46"/>
    <w:rsid w:val="004E4BC7"/>
    <w:rsid w:val="004E4FEC"/>
    <w:rsid w:val="004E52C0"/>
    <w:rsid w:val="004E5DD4"/>
    <w:rsid w:val="004E6D0B"/>
    <w:rsid w:val="004E6E23"/>
    <w:rsid w:val="004E70C0"/>
    <w:rsid w:val="004E722E"/>
    <w:rsid w:val="004E736C"/>
    <w:rsid w:val="004E7CB9"/>
    <w:rsid w:val="004F084C"/>
    <w:rsid w:val="004F1964"/>
    <w:rsid w:val="004F1EF4"/>
    <w:rsid w:val="004F2B0B"/>
    <w:rsid w:val="004F2D3E"/>
    <w:rsid w:val="004F2F30"/>
    <w:rsid w:val="004F431A"/>
    <w:rsid w:val="004F4332"/>
    <w:rsid w:val="004F48B4"/>
    <w:rsid w:val="004F57DD"/>
    <w:rsid w:val="004F5A25"/>
    <w:rsid w:val="004F61FF"/>
    <w:rsid w:val="004F6200"/>
    <w:rsid w:val="004F6EB9"/>
    <w:rsid w:val="004F703B"/>
    <w:rsid w:val="004F7536"/>
    <w:rsid w:val="004F7A8F"/>
    <w:rsid w:val="005007E9"/>
    <w:rsid w:val="00500DD0"/>
    <w:rsid w:val="00500E1E"/>
    <w:rsid w:val="00500ECF"/>
    <w:rsid w:val="00502934"/>
    <w:rsid w:val="00502B2E"/>
    <w:rsid w:val="00503578"/>
    <w:rsid w:val="00503DAB"/>
    <w:rsid w:val="00503F94"/>
    <w:rsid w:val="0050454D"/>
    <w:rsid w:val="00504F80"/>
    <w:rsid w:val="00505336"/>
    <w:rsid w:val="00506394"/>
    <w:rsid w:val="00506EAA"/>
    <w:rsid w:val="005074CD"/>
    <w:rsid w:val="005077ED"/>
    <w:rsid w:val="00507993"/>
    <w:rsid w:val="0051008C"/>
    <w:rsid w:val="005101E8"/>
    <w:rsid w:val="00510BAF"/>
    <w:rsid w:val="00512B14"/>
    <w:rsid w:val="00513801"/>
    <w:rsid w:val="0051395C"/>
    <w:rsid w:val="00513BD4"/>
    <w:rsid w:val="005145E5"/>
    <w:rsid w:val="00515159"/>
    <w:rsid w:val="00515548"/>
    <w:rsid w:val="00515FA8"/>
    <w:rsid w:val="00516BA4"/>
    <w:rsid w:val="005170D6"/>
    <w:rsid w:val="0051722A"/>
    <w:rsid w:val="005174C5"/>
    <w:rsid w:val="005174CE"/>
    <w:rsid w:val="00517CBD"/>
    <w:rsid w:val="00520F30"/>
    <w:rsid w:val="005214D9"/>
    <w:rsid w:val="00521827"/>
    <w:rsid w:val="00523268"/>
    <w:rsid w:val="0052396A"/>
    <w:rsid w:val="00523CFB"/>
    <w:rsid w:val="005240B4"/>
    <w:rsid w:val="005240EF"/>
    <w:rsid w:val="0052422F"/>
    <w:rsid w:val="005242E5"/>
    <w:rsid w:val="005243E1"/>
    <w:rsid w:val="0052459E"/>
    <w:rsid w:val="0052471C"/>
    <w:rsid w:val="00524A33"/>
    <w:rsid w:val="00524D9B"/>
    <w:rsid w:val="00524E0E"/>
    <w:rsid w:val="005250DC"/>
    <w:rsid w:val="00525852"/>
    <w:rsid w:val="00525BF1"/>
    <w:rsid w:val="00525E54"/>
    <w:rsid w:val="005266D2"/>
    <w:rsid w:val="005266E5"/>
    <w:rsid w:val="0052733D"/>
    <w:rsid w:val="00527528"/>
    <w:rsid w:val="005277C6"/>
    <w:rsid w:val="005279B7"/>
    <w:rsid w:val="0053020D"/>
    <w:rsid w:val="0053180D"/>
    <w:rsid w:val="00531F5F"/>
    <w:rsid w:val="005327F6"/>
    <w:rsid w:val="00532F33"/>
    <w:rsid w:val="005333AB"/>
    <w:rsid w:val="00533D7E"/>
    <w:rsid w:val="00534133"/>
    <w:rsid w:val="005346E9"/>
    <w:rsid w:val="005356CC"/>
    <w:rsid w:val="005358B9"/>
    <w:rsid w:val="00535FBD"/>
    <w:rsid w:val="005361B2"/>
    <w:rsid w:val="00536420"/>
    <w:rsid w:val="005366B3"/>
    <w:rsid w:val="00536EC2"/>
    <w:rsid w:val="005372A7"/>
    <w:rsid w:val="005374AA"/>
    <w:rsid w:val="005377B5"/>
    <w:rsid w:val="005403A0"/>
    <w:rsid w:val="00540889"/>
    <w:rsid w:val="00541054"/>
    <w:rsid w:val="005410BB"/>
    <w:rsid w:val="00542069"/>
    <w:rsid w:val="0054333C"/>
    <w:rsid w:val="005434CF"/>
    <w:rsid w:val="00543A5B"/>
    <w:rsid w:val="00543EDF"/>
    <w:rsid w:val="00543F97"/>
    <w:rsid w:val="00544133"/>
    <w:rsid w:val="0054497F"/>
    <w:rsid w:val="005456A2"/>
    <w:rsid w:val="00545EAB"/>
    <w:rsid w:val="00545F66"/>
    <w:rsid w:val="00546463"/>
    <w:rsid w:val="00547110"/>
    <w:rsid w:val="0054745B"/>
    <w:rsid w:val="00552300"/>
    <w:rsid w:val="005527C6"/>
    <w:rsid w:val="0055285B"/>
    <w:rsid w:val="00552D90"/>
    <w:rsid w:val="00553007"/>
    <w:rsid w:val="00553503"/>
    <w:rsid w:val="00553962"/>
    <w:rsid w:val="005552AB"/>
    <w:rsid w:val="00555593"/>
    <w:rsid w:val="00555632"/>
    <w:rsid w:val="005559AD"/>
    <w:rsid w:val="00555D7E"/>
    <w:rsid w:val="00555DB5"/>
    <w:rsid w:val="005565F7"/>
    <w:rsid w:val="00556686"/>
    <w:rsid w:val="00556FEA"/>
    <w:rsid w:val="00557164"/>
    <w:rsid w:val="00557A3D"/>
    <w:rsid w:val="00557B5C"/>
    <w:rsid w:val="00557B9F"/>
    <w:rsid w:val="00557BB1"/>
    <w:rsid w:val="00560FB0"/>
    <w:rsid w:val="0056100E"/>
    <w:rsid w:val="005614D5"/>
    <w:rsid w:val="00561CFC"/>
    <w:rsid w:val="0056307A"/>
    <w:rsid w:val="0056326E"/>
    <w:rsid w:val="005633EE"/>
    <w:rsid w:val="00563874"/>
    <w:rsid w:val="00563AB0"/>
    <w:rsid w:val="00564090"/>
    <w:rsid w:val="005641C5"/>
    <w:rsid w:val="0056426E"/>
    <w:rsid w:val="00564BAB"/>
    <w:rsid w:val="00565397"/>
    <w:rsid w:val="0056602E"/>
    <w:rsid w:val="005661CE"/>
    <w:rsid w:val="00566415"/>
    <w:rsid w:val="0056647C"/>
    <w:rsid w:val="0056676A"/>
    <w:rsid w:val="00566ACF"/>
    <w:rsid w:val="00566B22"/>
    <w:rsid w:val="0056797F"/>
    <w:rsid w:val="00567AEA"/>
    <w:rsid w:val="00567C9A"/>
    <w:rsid w:val="005700DF"/>
    <w:rsid w:val="0057071B"/>
    <w:rsid w:val="00570DDC"/>
    <w:rsid w:val="005710B8"/>
    <w:rsid w:val="005712C2"/>
    <w:rsid w:val="00571460"/>
    <w:rsid w:val="00571A6E"/>
    <w:rsid w:val="00571C4B"/>
    <w:rsid w:val="00571F58"/>
    <w:rsid w:val="00572036"/>
    <w:rsid w:val="005721CC"/>
    <w:rsid w:val="005725EA"/>
    <w:rsid w:val="005735ED"/>
    <w:rsid w:val="00573CF4"/>
    <w:rsid w:val="0057434C"/>
    <w:rsid w:val="00574B72"/>
    <w:rsid w:val="00574C7C"/>
    <w:rsid w:val="0057561F"/>
    <w:rsid w:val="00575CD5"/>
    <w:rsid w:val="005771F7"/>
    <w:rsid w:val="0057765B"/>
    <w:rsid w:val="005805BA"/>
    <w:rsid w:val="00580CFB"/>
    <w:rsid w:val="00580EB9"/>
    <w:rsid w:val="005815DA"/>
    <w:rsid w:val="00581E6C"/>
    <w:rsid w:val="00581F5D"/>
    <w:rsid w:val="005826E5"/>
    <w:rsid w:val="005831D9"/>
    <w:rsid w:val="00583414"/>
    <w:rsid w:val="00583429"/>
    <w:rsid w:val="0058373D"/>
    <w:rsid w:val="00583EDC"/>
    <w:rsid w:val="00583F47"/>
    <w:rsid w:val="005841A1"/>
    <w:rsid w:val="0058460F"/>
    <w:rsid w:val="00584916"/>
    <w:rsid w:val="00584FF7"/>
    <w:rsid w:val="00585374"/>
    <w:rsid w:val="0058556D"/>
    <w:rsid w:val="00585A04"/>
    <w:rsid w:val="00585D71"/>
    <w:rsid w:val="00585D9F"/>
    <w:rsid w:val="00586EC0"/>
    <w:rsid w:val="00587278"/>
    <w:rsid w:val="00587BF4"/>
    <w:rsid w:val="00587CC4"/>
    <w:rsid w:val="00587CD7"/>
    <w:rsid w:val="0059066D"/>
    <w:rsid w:val="005908F3"/>
    <w:rsid w:val="0059097D"/>
    <w:rsid w:val="00590F8A"/>
    <w:rsid w:val="00591CB8"/>
    <w:rsid w:val="00591E6C"/>
    <w:rsid w:val="0059232D"/>
    <w:rsid w:val="0059270F"/>
    <w:rsid w:val="00593148"/>
    <w:rsid w:val="00593546"/>
    <w:rsid w:val="005935CD"/>
    <w:rsid w:val="005939DE"/>
    <w:rsid w:val="00593A22"/>
    <w:rsid w:val="00594339"/>
    <w:rsid w:val="00594448"/>
    <w:rsid w:val="00594A36"/>
    <w:rsid w:val="00594BC7"/>
    <w:rsid w:val="005959A8"/>
    <w:rsid w:val="005959F8"/>
    <w:rsid w:val="00595E3C"/>
    <w:rsid w:val="00597A6E"/>
    <w:rsid w:val="00597DC9"/>
    <w:rsid w:val="005A0223"/>
    <w:rsid w:val="005A05B5"/>
    <w:rsid w:val="005A06E1"/>
    <w:rsid w:val="005A1577"/>
    <w:rsid w:val="005A1E2F"/>
    <w:rsid w:val="005A1EFB"/>
    <w:rsid w:val="005A2C16"/>
    <w:rsid w:val="005A3444"/>
    <w:rsid w:val="005A39B6"/>
    <w:rsid w:val="005A3C29"/>
    <w:rsid w:val="005A3CFB"/>
    <w:rsid w:val="005A41FD"/>
    <w:rsid w:val="005A47F5"/>
    <w:rsid w:val="005A5003"/>
    <w:rsid w:val="005A5CC3"/>
    <w:rsid w:val="005A5F8F"/>
    <w:rsid w:val="005A61D0"/>
    <w:rsid w:val="005A651C"/>
    <w:rsid w:val="005A6A63"/>
    <w:rsid w:val="005A6E2E"/>
    <w:rsid w:val="005A7E73"/>
    <w:rsid w:val="005B015F"/>
    <w:rsid w:val="005B104F"/>
    <w:rsid w:val="005B1CCD"/>
    <w:rsid w:val="005B246E"/>
    <w:rsid w:val="005B26A2"/>
    <w:rsid w:val="005B2BE7"/>
    <w:rsid w:val="005B2CBB"/>
    <w:rsid w:val="005B35DF"/>
    <w:rsid w:val="005B36A1"/>
    <w:rsid w:val="005B4AF7"/>
    <w:rsid w:val="005B4D41"/>
    <w:rsid w:val="005B4E18"/>
    <w:rsid w:val="005B5589"/>
    <w:rsid w:val="005B5A06"/>
    <w:rsid w:val="005B5EEC"/>
    <w:rsid w:val="005B601A"/>
    <w:rsid w:val="005B6BEE"/>
    <w:rsid w:val="005B7488"/>
    <w:rsid w:val="005B7DCE"/>
    <w:rsid w:val="005C04FE"/>
    <w:rsid w:val="005C0671"/>
    <w:rsid w:val="005C0E55"/>
    <w:rsid w:val="005C1431"/>
    <w:rsid w:val="005C19D5"/>
    <w:rsid w:val="005C22F0"/>
    <w:rsid w:val="005C2C6C"/>
    <w:rsid w:val="005C3771"/>
    <w:rsid w:val="005C3AA1"/>
    <w:rsid w:val="005C3CFB"/>
    <w:rsid w:val="005C3E76"/>
    <w:rsid w:val="005C4209"/>
    <w:rsid w:val="005C4457"/>
    <w:rsid w:val="005C4E9E"/>
    <w:rsid w:val="005C516A"/>
    <w:rsid w:val="005C549B"/>
    <w:rsid w:val="005C5F5B"/>
    <w:rsid w:val="005C5FDE"/>
    <w:rsid w:val="005C63C9"/>
    <w:rsid w:val="005C660F"/>
    <w:rsid w:val="005C71B9"/>
    <w:rsid w:val="005C73F9"/>
    <w:rsid w:val="005C7613"/>
    <w:rsid w:val="005C777A"/>
    <w:rsid w:val="005C77CB"/>
    <w:rsid w:val="005C77F4"/>
    <w:rsid w:val="005C7851"/>
    <w:rsid w:val="005C7A0A"/>
    <w:rsid w:val="005C7E4E"/>
    <w:rsid w:val="005D02BD"/>
    <w:rsid w:val="005D087C"/>
    <w:rsid w:val="005D0CFD"/>
    <w:rsid w:val="005D0E7A"/>
    <w:rsid w:val="005D1860"/>
    <w:rsid w:val="005D1916"/>
    <w:rsid w:val="005D1BAC"/>
    <w:rsid w:val="005D1EAE"/>
    <w:rsid w:val="005D2155"/>
    <w:rsid w:val="005D2F42"/>
    <w:rsid w:val="005D426B"/>
    <w:rsid w:val="005D5D86"/>
    <w:rsid w:val="005D5E0D"/>
    <w:rsid w:val="005D6606"/>
    <w:rsid w:val="005D668E"/>
    <w:rsid w:val="005D6709"/>
    <w:rsid w:val="005D6756"/>
    <w:rsid w:val="005D6802"/>
    <w:rsid w:val="005D6B42"/>
    <w:rsid w:val="005D7721"/>
    <w:rsid w:val="005D7E39"/>
    <w:rsid w:val="005E0486"/>
    <w:rsid w:val="005E115F"/>
    <w:rsid w:val="005E1528"/>
    <w:rsid w:val="005E1B2E"/>
    <w:rsid w:val="005E2F2E"/>
    <w:rsid w:val="005E30D7"/>
    <w:rsid w:val="005E3412"/>
    <w:rsid w:val="005E34F7"/>
    <w:rsid w:val="005E3749"/>
    <w:rsid w:val="005E3C35"/>
    <w:rsid w:val="005E41A0"/>
    <w:rsid w:val="005E420A"/>
    <w:rsid w:val="005E4352"/>
    <w:rsid w:val="005E4B14"/>
    <w:rsid w:val="005E50D5"/>
    <w:rsid w:val="005E55B3"/>
    <w:rsid w:val="005E5836"/>
    <w:rsid w:val="005E6FD5"/>
    <w:rsid w:val="005E7421"/>
    <w:rsid w:val="005E7C9B"/>
    <w:rsid w:val="005F01BD"/>
    <w:rsid w:val="005F03F0"/>
    <w:rsid w:val="005F05E4"/>
    <w:rsid w:val="005F06B1"/>
    <w:rsid w:val="005F08F3"/>
    <w:rsid w:val="005F1292"/>
    <w:rsid w:val="005F1536"/>
    <w:rsid w:val="005F1D51"/>
    <w:rsid w:val="005F2481"/>
    <w:rsid w:val="005F33ED"/>
    <w:rsid w:val="005F39CE"/>
    <w:rsid w:val="005F48F3"/>
    <w:rsid w:val="005F499A"/>
    <w:rsid w:val="005F531D"/>
    <w:rsid w:val="005F68F4"/>
    <w:rsid w:val="005F6F3A"/>
    <w:rsid w:val="005F703B"/>
    <w:rsid w:val="005F7257"/>
    <w:rsid w:val="005F739B"/>
    <w:rsid w:val="005F75C6"/>
    <w:rsid w:val="005F79D3"/>
    <w:rsid w:val="005F7ED7"/>
    <w:rsid w:val="00600089"/>
    <w:rsid w:val="0060088B"/>
    <w:rsid w:val="00600B86"/>
    <w:rsid w:val="006017FF"/>
    <w:rsid w:val="00601B87"/>
    <w:rsid w:val="006023D5"/>
    <w:rsid w:val="0060260B"/>
    <w:rsid w:val="00602F22"/>
    <w:rsid w:val="00603732"/>
    <w:rsid w:val="00603D77"/>
    <w:rsid w:val="00603E82"/>
    <w:rsid w:val="00604215"/>
    <w:rsid w:val="00604351"/>
    <w:rsid w:val="0060463D"/>
    <w:rsid w:val="006051D3"/>
    <w:rsid w:val="0060531B"/>
    <w:rsid w:val="00605772"/>
    <w:rsid w:val="0060597E"/>
    <w:rsid w:val="00606038"/>
    <w:rsid w:val="0060683E"/>
    <w:rsid w:val="00610892"/>
    <w:rsid w:val="00611837"/>
    <w:rsid w:val="0061207E"/>
    <w:rsid w:val="00612235"/>
    <w:rsid w:val="00612FA6"/>
    <w:rsid w:val="0061390E"/>
    <w:rsid w:val="00613A15"/>
    <w:rsid w:val="00614DA5"/>
    <w:rsid w:val="00615225"/>
    <w:rsid w:val="006154BB"/>
    <w:rsid w:val="00615989"/>
    <w:rsid w:val="00616222"/>
    <w:rsid w:val="0061639B"/>
    <w:rsid w:val="0061669B"/>
    <w:rsid w:val="006166FE"/>
    <w:rsid w:val="00616A5D"/>
    <w:rsid w:val="00616B5B"/>
    <w:rsid w:val="006177D5"/>
    <w:rsid w:val="00620473"/>
    <w:rsid w:val="00620A76"/>
    <w:rsid w:val="00620D1F"/>
    <w:rsid w:val="00621620"/>
    <w:rsid w:val="006227FE"/>
    <w:rsid w:val="00622B08"/>
    <w:rsid w:val="00622DD7"/>
    <w:rsid w:val="00623068"/>
    <w:rsid w:val="00623D8A"/>
    <w:rsid w:val="00624516"/>
    <w:rsid w:val="00624868"/>
    <w:rsid w:val="006248B6"/>
    <w:rsid w:val="00624A61"/>
    <w:rsid w:val="00624EBF"/>
    <w:rsid w:val="006255BC"/>
    <w:rsid w:val="0062656F"/>
    <w:rsid w:val="0062709E"/>
    <w:rsid w:val="00627ECC"/>
    <w:rsid w:val="0063013E"/>
    <w:rsid w:val="0063166E"/>
    <w:rsid w:val="00631926"/>
    <w:rsid w:val="00631C27"/>
    <w:rsid w:val="00631FFF"/>
    <w:rsid w:val="006320D9"/>
    <w:rsid w:val="0063319B"/>
    <w:rsid w:val="00633305"/>
    <w:rsid w:val="00633916"/>
    <w:rsid w:val="00633986"/>
    <w:rsid w:val="0063423C"/>
    <w:rsid w:val="00634309"/>
    <w:rsid w:val="0063431D"/>
    <w:rsid w:val="0063434B"/>
    <w:rsid w:val="006346A3"/>
    <w:rsid w:val="00635387"/>
    <w:rsid w:val="0063599A"/>
    <w:rsid w:val="00635B5F"/>
    <w:rsid w:val="00636543"/>
    <w:rsid w:val="006373FA"/>
    <w:rsid w:val="00637A48"/>
    <w:rsid w:val="00637B15"/>
    <w:rsid w:val="00637BE2"/>
    <w:rsid w:val="00640313"/>
    <w:rsid w:val="00640420"/>
    <w:rsid w:val="006413B1"/>
    <w:rsid w:val="0064142C"/>
    <w:rsid w:val="00642AD8"/>
    <w:rsid w:val="00642B01"/>
    <w:rsid w:val="00643961"/>
    <w:rsid w:val="00643EAA"/>
    <w:rsid w:val="00644438"/>
    <w:rsid w:val="00644469"/>
    <w:rsid w:val="00645A75"/>
    <w:rsid w:val="0064630F"/>
    <w:rsid w:val="00646D4C"/>
    <w:rsid w:val="00646E95"/>
    <w:rsid w:val="006502AD"/>
    <w:rsid w:val="006506E2"/>
    <w:rsid w:val="00651323"/>
    <w:rsid w:val="006513B7"/>
    <w:rsid w:val="00651B5C"/>
    <w:rsid w:val="00651DB7"/>
    <w:rsid w:val="00652A0D"/>
    <w:rsid w:val="00653082"/>
    <w:rsid w:val="006538AA"/>
    <w:rsid w:val="00653D5B"/>
    <w:rsid w:val="00654806"/>
    <w:rsid w:val="0065503F"/>
    <w:rsid w:val="006556FB"/>
    <w:rsid w:val="00655938"/>
    <w:rsid w:val="006576A0"/>
    <w:rsid w:val="00657F20"/>
    <w:rsid w:val="006600C6"/>
    <w:rsid w:val="006627E7"/>
    <w:rsid w:val="0066287B"/>
    <w:rsid w:val="00662DF4"/>
    <w:rsid w:val="00662EF2"/>
    <w:rsid w:val="0066444E"/>
    <w:rsid w:val="0066478E"/>
    <w:rsid w:val="00665505"/>
    <w:rsid w:val="0066567B"/>
    <w:rsid w:val="00665C17"/>
    <w:rsid w:val="00665CA4"/>
    <w:rsid w:val="00666252"/>
    <w:rsid w:val="00667850"/>
    <w:rsid w:val="00667982"/>
    <w:rsid w:val="00667A6A"/>
    <w:rsid w:val="00667ED3"/>
    <w:rsid w:val="00670B7A"/>
    <w:rsid w:val="00671541"/>
    <w:rsid w:val="006718EE"/>
    <w:rsid w:val="00671BB3"/>
    <w:rsid w:val="006723DE"/>
    <w:rsid w:val="00672698"/>
    <w:rsid w:val="00672B85"/>
    <w:rsid w:val="00672BD0"/>
    <w:rsid w:val="00673560"/>
    <w:rsid w:val="006735E3"/>
    <w:rsid w:val="0067394E"/>
    <w:rsid w:val="00673C6D"/>
    <w:rsid w:val="00673E18"/>
    <w:rsid w:val="00674156"/>
    <w:rsid w:val="0067442D"/>
    <w:rsid w:val="006746DA"/>
    <w:rsid w:val="00674B0C"/>
    <w:rsid w:val="00674C4B"/>
    <w:rsid w:val="0067500D"/>
    <w:rsid w:val="0067598F"/>
    <w:rsid w:val="00675A0F"/>
    <w:rsid w:val="00675E20"/>
    <w:rsid w:val="006766E6"/>
    <w:rsid w:val="00676997"/>
    <w:rsid w:val="00676F4F"/>
    <w:rsid w:val="00677623"/>
    <w:rsid w:val="00677862"/>
    <w:rsid w:val="006807B2"/>
    <w:rsid w:val="00681F04"/>
    <w:rsid w:val="006820DA"/>
    <w:rsid w:val="006824B2"/>
    <w:rsid w:val="0068275E"/>
    <w:rsid w:val="006828B2"/>
    <w:rsid w:val="00682E11"/>
    <w:rsid w:val="006838FF"/>
    <w:rsid w:val="00683EEF"/>
    <w:rsid w:val="00684B06"/>
    <w:rsid w:val="006856B0"/>
    <w:rsid w:val="006867F6"/>
    <w:rsid w:val="0068695A"/>
    <w:rsid w:val="00686EB5"/>
    <w:rsid w:val="00686EC1"/>
    <w:rsid w:val="00687040"/>
    <w:rsid w:val="00687853"/>
    <w:rsid w:val="00690A11"/>
    <w:rsid w:val="0069335D"/>
    <w:rsid w:val="00693750"/>
    <w:rsid w:val="0069378A"/>
    <w:rsid w:val="00694452"/>
    <w:rsid w:val="006947A9"/>
    <w:rsid w:val="00694D88"/>
    <w:rsid w:val="00694D93"/>
    <w:rsid w:val="00694E62"/>
    <w:rsid w:val="00695096"/>
    <w:rsid w:val="006952B4"/>
    <w:rsid w:val="00695FCB"/>
    <w:rsid w:val="00696196"/>
    <w:rsid w:val="00696341"/>
    <w:rsid w:val="006963E4"/>
    <w:rsid w:val="00696547"/>
    <w:rsid w:val="0069706A"/>
    <w:rsid w:val="00697190"/>
    <w:rsid w:val="00697493"/>
    <w:rsid w:val="00697A45"/>
    <w:rsid w:val="00697AE5"/>
    <w:rsid w:val="006A0984"/>
    <w:rsid w:val="006A1007"/>
    <w:rsid w:val="006A1B59"/>
    <w:rsid w:val="006A1E09"/>
    <w:rsid w:val="006A29B5"/>
    <w:rsid w:val="006A29FB"/>
    <w:rsid w:val="006A3BB4"/>
    <w:rsid w:val="006A3CD0"/>
    <w:rsid w:val="006A4263"/>
    <w:rsid w:val="006A4BA0"/>
    <w:rsid w:val="006A4C0A"/>
    <w:rsid w:val="006A4D05"/>
    <w:rsid w:val="006A505E"/>
    <w:rsid w:val="006A5E5B"/>
    <w:rsid w:val="006A63EF"/>
    <w:rsid w:val="006A6C3C"/>
    <w:rsid w:val="006A6D1A"/>
    <w:rsid w:val="006A70F9"/>
    <w:rsid w:val="006A72A0"/>
    <w:rsid w:val="006A7DC3"/>
    <w:rsid w:val="006B06B0"/>
    <w:rsid w:val="006B0FA0"/>
    <w:rsid w:val="006B1721"/>
    <w:rsid w:val="006B1800"/>
    <w:rsid w:val="006B1934"/>
    <w:rsid w:val="006B1C09"/>
    <w:rsid w:val="006B2264"/>
    <w:rsid w:val="006B2EAE"/>
    <w:rsid w:val="006B303E"/>
    <w:rsid w:val="006B3660"/>
    <w:rsid w:val="006B3A61"/>
    <w:rsid w:val="006B3F0E"/>
    <w:rsid w:val="006B4234"/>
    <w:rsid w:val="006B4492"/>
    <w:rsid w:val="006B5995"/>
    <w:rsid w:val="006B5CCD"/>
    <w:rsid w:val="006B6140"/>
    <w:rsid w:val="006B6235"/>
    <w:rsid w:val="006B6260"/>
    <w:rsid w:val="006B66D6"/>
    <w:rsid w:val="006B686F"/>
    <w:rsid w:val="006B6922"/>
    <w:rsid w:val="006B72EB"/>
    <w:rsid w:val="006B7484"/>
    <w:rsid w:val="006B75FD"/>
    <w:rsid w:val="006B7B8F"/>
    <w:rsid w:val="006C0254"/>
    <w:rsid w:val="006C0537"/>
    <w:rsid w:val="006C0E7C"/>
    <w:rsid w:val="006C0EB6"/>
    <w:rsid w:val="006C1735"/>
    <w:rsid w:val="006C1894"/>
    <w:rsid w:val="006C20B1"/>
    <w:rsid w:val="006C2AC5"/>
    <w:rsid w:val="006C3876"/>
    <w:rsid w:val="006C3B19"/>
    <w:rsid w:val="006C4DC1"/>
    <w:rsid w:val="006C519C"/>
    <w:rsid w:val="006C6956"/>
    <w:rsid w:val="006C6A77"/>
    <w:rsid w:val="006C6E15"/>
    <w:rsid w:val="006C7431"/>
    <w:rsid w:val="006C74D0"/>
    <w:rsid w:val="006C77A7"/>
    <w:rsid w:val="006C7D51"/>
    <w:rsid w:val="006D0120"/>
    <w:rsid w:val="006D0274"/>
    <w:rsid w:val="006D0633"/>
    <w:rsid w:val="006D08AB"/>
    <w:rsid w:val="006D0A0D"/>
    <w:rsid w:val="006D1FF4"/>
    <w:rsid w:val="006D2873"/>
    <w:rsid w:val="006D318A"/>
    <w:rsid w:val="006D3256"/>
    <w:rsid w:val="006D34FD"/>
    <w:rsid w:val="006D4629"/>
    <w:rsid w:val="006D49BD"/>
    <w:rsid w:val="006D4A2E"/>
    <w:rsid w:val="006D4DB9"/>
    <w:rsid w:val="006D5E55"/>
    <w:rsid w:val="006D6308"/>
    <w:rsid w:val="006D64EB"/>
    <w:rsid w:val="006D660A"/>
    <w:rsid w:val="006D6DB1"/>
    <w:rsid w:val="006D7281"/>
    <w:rsid w:val="006E0CE7"/>
    <w:rsid w:val="006E0FC2"/>
    <w:rsid w:val="006E0FFB"/>
    <w:rsid w:val="006E1826"/>
    <w:rsid w:val="006E1956"/>
    <w:rsid w:val="006E1AB0"/>
    <w:rsid w:val="006E1B3C"/>
    <w:rsid w:val="006E1F64"/>
    <w:rsid w:val="006E3191"/>
    <w:rsid w:val="006E3279"/>
    <w:rsid w:val="006E3660"/>
    <w:rsid w:val="006E47BA"/>
    <w:rsid w:val="006E4A4D"/>
    <w:rsid w:val="006E5046"/>
    <w:rsid w:val="006E5DF5"/>
    <w:rsid w:val="006E5F3A"/>
    <w:rsid w:val="006E5FFB"/>
    <w:rsid w:val="006E661E"/>
    <w:rsid w:val="006E77A5"/>
    <w:rsid w:val="006F035B"/>
    <w:rsid w:val="006F066D"/>
    <w:rsid w:val="006F0A9D"/>
    <w:rsid w:val="006F1283"/>
    <w:rsid w:val="006F1766"/>
    <w:rsid w:val="006F2172"/>
    <w:rsid w:val="006F27A4"/>
    <w:rsid w:val="006F2978"/>
    <w:rsid w:val="006F2CA1"/>
    <w:rsid w:val="006F3E91"/>
    <w:rsid w:val="006F4AC1"/>
    <w:rsid w:val="006F4EE9"/>
    <w:rsid w:val="006F5097"/>
    <w:rsid w:val="006F541C"/>
    <w:rsid w:val="006F5A27"/>
    <w:rsid w:val="006F64AE"/>
    <w:rsid w:val="006F66F2"/>
    <w:rsid w:val="006F673B"/>
    <w:rsid w:val="006F7D02"/>
    <w:rsid w:val="006F7DF6"/>
    <w:rsid w:val="006F7E0B"/>
    <w:rsid w:val="006F7E6D"/>
    <w:rsid w:val="00700327"/>
    <w:rsid w:val="00700373"/>
    <w:rsid w:val="00701F82"/>
    <w:rsid w:val="00702102"/>
    <w:rsid w:val="00702AB6"/>
    <w:rsid w:val="00702B2B"/>
    <w:rsid w:val="00702BF0"/>
    <w:rsid w:val="00702C09"/>
    <w:rsid w:val="00704242"/>
    <w:rsid w:val="0070448B"/>
    <w:rsid w:val="00704A3E"/>
    <w:rsid w:val="00705060"/>
    <w:rsid w:val="00705141"/>
    <w:rsid w:val="00705159"/>
    <w:rsid w:val="00705D32"/>
    <w:rsid w:val="00706AF1"/>
    <w:rsid w:val="00706E62"/>
    <w:rsid w:val="00706FEA"/>
    <w:rsid w:val="00707625"/>
    <w:rsid w:val="00707C72"/>
    <w:rsid w:val="00707CE7"/>
    <w:rsid w:val="00710304"/>
    <w:rsid w:val="0071040E"/>
    <w:rsid w:val="00711B40"/>
    <w:rsid w:val="00711FD9"/>
    <w:rsid w:val="007123B2"/>
    <w:rsid w:val="007136F1"/>
    <w:rsid w:val="00713F17"/>
    <w:rsid w:val="00713F1F"/>
    <w:rsid w:val="0071426E"/>
    <w:rsid w:val="0071428B"/>
    <w:rsid w:val="00714382"/>
    <w:rsid w:val="007145BE"/>
    <w:rsid w:val="00714A1E"/>
    <w:rsid w:val="007167B2"/>
    <w:rsid w:val="00716B85"/>
    <w:rsid w:val="007172A2"/>
    <w:rsid w:val="0071765C"/>
    <w:rsid w:val="00717CB3"/>
    <w:rsid w:val="00717D39"/>
    <w:rsid w:val="00717DD3"/>
    <w:rsid w:val="00720275"/>
    <w:rsid w:val="0072060F"/>
    <w:rsid w:val="00720AFF"/>
    <w:rsid w:val="00720BF3"/>
    <w:rsid w:val="00721189"/>
    <w:rsid w:val="00722005"/>
    <w:rsid w:val="00722946"/>
    <w:rsid w:val="00722F4B"/>
    <w:rsid w:val="00723BAE"/>
    <w:rsid w:val="007240DD"/>
    <w:rsid w:val="0072460D"/>
    <w:rsid w:val="00724A83"/>
    <w:rsid w:val="0072639C"/>
    <w:rsid w:val="00726E8E"/>
    <w:rsid w:val="0072757A"/>
    <w:rsid w:val="00727720"/>
    <w:rsid w:val="0072776E"/>
    <w:rsid w:val="007313B3"/>
    <w:rsid w:val="0073141C"/>
    <w:rsid w:val="007316A4"/>
    <w:rsid w:val="0073198D"/>
    <w:rsid w:val="00731D5D"/>
    <w:rsid w:val="00732074"/>
    <w:rsid w:val="0073221D"/>
    <w:rsid w:val="00732251"/>
    <w:rsid w:val="007327A6"/>
    <w:rsid w:val="00732912"/>
    <w:rsid w:val="00732AB1"/>
    <w:rsid w:val="00732C58"/>
    <w:rsid w:val="00733832"/>
    <w:rsid w:val="00733C69"/>
    <w:rsid w:val="0073413F"/>
    <w:rsid w:val="007345A3"/>
    <w:rsid w:val="007345DA"/>
    <w:rsid w:val="00734FF0"/>
    <w:rsid w:val="00735BDA"/>
    <w:rsid w:val="007363A7"/>
    <w:rsid w:val="007368AB"/>
    <w:rsid w:val="00736E37"/>
    <w:rsid w:val="00736F0F"/>
    <w:rsid w:val="007379E9"/>
    <w:rsid w:val="00740CC7"/>
    <w:rsid w:val="00741B86"/>
    <w:rsid w:val="00741C82"/>
    <w:rsid w:val="007421B7"/>
    <w:rsid w:val="007423FA"/>
    <w:rsid w:val="0074263A"/>
    <w:rsid w:val="00742842"/>
    <w:rsid w:val="007430BC"/>
    <w:rsid w:val="007436FB"/>
    <w:rsid w:val="00744572"/>
    <w:rsid w:val="007447A6"/>
    <w:rsid w:val="00744805"/>
    <w:rsid w:val="0074534F"/>
    <w:rsid w:val="007459D9"/>
    <w:rsid w:val="007466EC"/>
    <w:rsid w:val="00747CC0"/>
    <w:rsid w:val="00747EAB"/>
    <w:rsid w:val="007511A3"/>
    <w:rsid w:val="0075369B"/>
    <w:rsid w:val="00754BEA"/>
    <w:rsid w:val="00755AE4"/>
    <w:rsid w:val="00755B51"/>
    <w:rsid w:val="00755B8B"/>
    <w:rsid w:val="00755FBF"/>
    <w:rsid w:val="0075775C"/>
    <w:rsid w:val="00757986"/>
    <w:rsid w:val="007612FB"/>
    <w:rsid w:val="00761600"/>
    <w:rsid w:val="00762842"/>
    <w:rsid w:val="00762B4E"/>
    <w:rsid w:val="00762BC5"/>
    <w:rsid w:val="00762D15"/>
    <w:rsid w:val="00763743"/>
    <w:rsid w:val="00763BB0"/>
    <w:rsid w:val="00764DB8"/>
    <w:rsid w:val="00765169"/>
    <w:rsid w:val="0076537C"/>
    <w:rsid w:val="00765D63"/>
    <w:rsid w:val="007660AD"/>
    <w:rsid w:val="00766CC1"/>
    <w:rsid w:val="00766E95"/>
    <w:rsid w:val="00770B7F"/>
    <w:rsid w:val="00772825"/>
    <w:rsid w:val="00772928"/>
    <w:rsid w:val="00772BCD"/>
    <w:rsid w:val="00773092"/>
    <w:rsid w:val="00773878"/>
    <w:rsid w:val="007739FF"/>
    <w:rsid w:val="00773BCE"/>
    <w:rsid w:val="00774400"/>
    <w:rsid w:val="0077455B"/>
    <w:rsid w:val="00774676"/>
    <w:rsid w:val="00775983"/>
    <w:rsid w:val="00775E1B"/>
    <w:rsid w:val="00776107"/>
    <w:rsid w:val="00776AEA"/>
    <w:rsid w:val="00776B7F"/>
    <w:rsid w:val="00776C92"/>
    <w:rsid w:val="007770A4"/>
    <w:rsid w:val="00780621"/>
    <w:rsid w:val="00780737"/>
    <w:rsid w:val="007809BD"/>
    <w:rsid w:val="00780C9B"/>
    <w:rsid w:val="007815FA"/>
    <w:rsid w:val="007820AE"/>
    <w:rsid w:val="00782367"/>
    <w:rsid w:val="007825FC"/>
    <w:rsid w:val="007831EC"/>
    <w:rsid w:val="00784002"/>
    <w:rsid w:val="007847D5"/>
    <w:rsid w:val="00784B22"/>
    <w:rsid w:val="00784C25"/>
    <w:rsid w:val="00784EB4"/>
    <w:rsid w:val="00784F27"/>
    <w:rsid w:val="00784F3C"/>
    <w:rsid w:val="00784FC9"/>
    <w:rsid w:val="007851B4"/>
    <w:rsid w:val="007852CD"/>
    <w:rsid w:val="0078538D"/>
    <w:rsid w:val="007869A4"/>
    <w:rsid w:val="00787216"/>
    <w:rsid w:val="00787C0B"/>
    <w:rsid w:val="00787C40"/>
    <w:rsid w:val="007904CF"/>
    <w:rsid w:val="007907AE"/>
    <w:rsid w:val="00790DF7"/>
    <w:rsid w:val="00791110"/>
    <w:rsid w:val="00791A2E"/>
    <w:rsid w:val="00792439"/>
    <w:rsid w:val="0079297D"/>
    <w:rsid w:val="00792980"/>
    <w:rsid w:val="00792993"/>
    <w:rsid w:val="00792BD5"/>
    <w:rsid w:val="00792E15"/>
    <w:rsid w:val="00792EAC"/>
    <w:rsid w:val="0079327E"/>
    <w:rsid w:val="00793483"/>
    <w:rsid w:val="007943DC"/>
    <w:rsid w:val="00794598"/>
    <w:rsid w:val="007948A6"/>
    <w:rsid w:val="00794ACF"/>
    <w:rsid w:val="00794F3B"/>
    <w:rsid w:val="007951EC"/>
    <w:rsid w:val="007952A4"/>
    <w:rsid w:val="0079548A"/>
    <w:rsid w:val="00795CCC"/>
    <w:rsid w:val="00795D79"/>
    <w:rsid w:val="00795F57"/>
    <w:rsid w:val="007963C4"/>
    <w:rsid w:val="00796920"/>
    <w:rsid w:val="00796F59"/>
    <w:rsid w:val="00797BF1"/>
    <w:rsid w:val="007A09CF"/>
    <w:rsid w:val="007A1462"/>
    <w:rsid w:val="007A29FC"/>
    <w:rsid w:val="007A2B6C"/>
    <w:rsid w:val="007A3207"/>
    <w:rsid w:val="007A420E"/>
    <w:rsid w:val="007A4993"/>
    <w:rsid w:val="007A62CD"/>
    <w:rsid w:val="007A6971"/>
    <w:rsid w:val="007A709A"/>
    <w:rsid w:val="007A7508"/>
    <w:rsid w:val="007A7B85"/>
    <w:rsid w:val="007A7ECC"/>
    <w:rsid w:val="007B0965"/>
    <w:rsid w:val="007B0B9C"/>
    <w:rsid w:val="007B18C9"/>
    <w:rsid w:val="007B1916"/>
    <w:rsid w:val="007B2AD9"/>
    <w:rsid w:val="007B35EA"/>
    <w:rsid w:val="007B379C"/>
    <w:rsid w:val="007B3AD0"/>
    <w:rsid w:val="007B3D2E"/>
    <w:rsid w:val="007B46E6"/>
    <w:rsid w:val="007B48BA"/>
    <w:rsid w:val="007B5A30"/>
    <w:rsid w:val="007B60F2"/>
    <w:rsid w:val="007B640F"/>
    <w:rsid w:val="007B64C8"/>
    <w:rsid w:val="007B67FF"/>
    <w:rsid w:val="007B72DC"/>
    <w:rsid w:val="007B768E"/>
    <w:rsid w:val="007B79D4"/>
    <w:rsid w:val="007B7BC1"/>
    <w:rsid w:val="007C1810"/>
    <w:rsid w:val="007C2634"/>
    <w:rsid w:val="007C33CB"/>
    <w:rsid w:val="007C3630"/>
    <w:rsid w:val="007C5055"/>
    <w:rsid w:val="007C58D6"/>
    <w:rsid w:val="007C5C4A"/>
    <w:rsid w:val="007C5C66"/>
    <w:rsid w:val="007C6A2F"/>
    <w:rsid w:val="007C6BE4"/>
    <w:rsid w:val="007C6D30"/>
    <w:rsid w:val="007C6F2C"/>
    <w:rsid w:val="007C7A6A"/>
    <w:rsid w:val="007C7B69"/>
    <w:rsid w:val="007C7CAA"/>
    <w:rsid w:val="007D0327"/>
    <w:rsid w:val="007D04F8"/>
    <w:rsid w:val="007D077D"/>
    <w:rsid w:val="007D09F2"/>
    <w:rsid w:val="007D15F9"/>
    <w:rsid w:val="007D167C"/>
    <w:rsid w:val="007D16DD"/>
    <w:rsid w:val="007D1D58"/>
    <w:rsid w:val="007D1F88"/>
    <w:rsid w:val="007D28A1"/>
    <w:rsid w:val="007D2A87"/>
    <w:rsid w:val="007D31C9"/>
    <w:rsid w:val="007D3798"/>
    <w:rsid w:val="007D3947"/>
    <w:rsid w:val="007D3A11"/>
    <w:rsid w:val="007D422C"/>
    <w:rsid w:val="007D4407"/>
    <w:rsid w:val="007D4AFB"/>
    <w:rsid w:val="007D4CCB"/>
    <w:rsid w:val="007D6015"/>
    <w:rsid w:val="007D6640"/>
    <w:rsid w:val="007D6964"/>
    <w:rsid w:val="007D7663"/>
    <w:rsid w:val="007D7CD5"/>
    <w:rsid w:val="007E0176"/>
    <w:rsid w:val="007E01AF"/>
    <w:rsid w:val="007E0BC3"/>
    <w:rsid w:val="007E0EB0"/>
    <w:rsid w:val="007E0FA3"/>
    <w:rsid w:val="007E11FB"/>
    <w:rsid w:val="007E13A8"/>
    <w:rsid w:val="007E1BEB"/>
    <w:rsid w:val="007E1EFD"/>
    <w:rsid w:val="007E20BF"/>
    <w:rsid w:val="007E2432"/>
    <w:rsid w:val="007E2CD9"/>
    <w:rsid w:val="007E4C36"/>
    <w:rsid w:val="007E5007"/>
    <w:rsid w:val="007E57C0"/>
    <w:rsid w:val="007E5F38"/>
    <w:rsid w:val="007E67E0"/>
    <w:rsid w:val="007E7ACF"/>
    <w:rsid w:val="007E7FF9"/>
    <w:rsid w:val="007F2E7B"/>
    <w:rsid w:val="007F301A"/>
    <w:rsid w:val="007F370F"/>
    <w:rsid w:val="007F3751"/>
    <w:rsid w:val="007F5482"/>
    <w:rsid w:val="007F578C"/>
    <w:rsid w:val="007F58B0"/>
    <w:rsid w:val="007F593F"/>
    <w:rsid w:val="007F63E0"/>
    <w:rsid w:val="0080057E"/>
    <w:rsid w:val="008005CC"/>
    <w:rsid w:val="00800E55"/>
    <w:rsid w:val="0080103D"/>
    <w:rsid w:val="0080210F"/>
    <w:rsid w:val="00802412"/>
    <w:rsid w:val="0080244A"/>
    <w:rsid w:val="008030BD"/>
    <w:rsid w:val="0080355B"/>
    <w:rsid w:val="0080369D"/>
    <w:rsid w:val="008036E3"/>
    <w:rsid w:val="00804195"/>
    <w:rsid w:val="008044F9"/>
    <w:rsid w:val="008049E6"/>
    <w:rsid w:val="0080506E"/>
    <w:rsid w:val="0080538A"/>
    <w:rsid w:val="00805BBA"/>
    <w:rsid w:val="00805FF0"/>
    <w:rsid w:val="00806257"/>
    <w:rsid w:val="008063D8"/>
    <w:rsid w:val="00806538"/>
    <w:rsid w:val="008066A9"/>
    <w:rsid w:val="0080698D"/>
    <w:rsid w:val="00806CDC"/>
    <w:rsid w:val="008070F0"/>
    <w:rsid w:val="0080717E"/>
    <w:rsid w:val="008073E8"/>
    <w:rsid w:val="00810C60"/>
    <w:rsid w:val="00810D15"/>
    <w:rsid w:val="008110BD"/>
    <w:rsid w:val="008111A6"/>
    <w:rsid w:val="00812319"/>
    <w:rsid w:val="008125B2"/>
    <w:rsid w:val="00812654"/>
    <w:rsid w:val="00812E13"/>
    <w:rsid w:val="00813072"/>
    <w:rsid w:val="00813439"/>
    <w:rsid w:val="008144BE"/>
    <w:rsid w:val="00814510"/>
    <w:rsid w:val="008147C3"/>
    <w:rsid w:val="0081589F"/>
    <w:rsid w:val="00815AC9"/>
    <w:rsid w:val="00815D2C"/>
    <w:rsid w:val="008161E2"/>
    <w:rsid w:val="008161EE"/>
    <w:rsid w:val="0081653C"/>
    <w:rsid w:val="00816AA1"/>
    <w:rsid w:val="008171EC"/>
    <w:rsid w:val="008176E4"/>
    <w:rsid w:val="00817E7A"/>
    <w:rsid w:val="00817FE0"/>
    <w:rsid w:val="0082050E"/>
    <w:rsid w:val="00820D9F"/>
    <w:rsid w:val="0082129D"/>
    <w:rsid w:val="008213C7"/>
    <w:rsid w:val="0082179A"/>
    <w:rsid w:val="00821A89"/>
    <w:rsid w:val="00821C09"/>
    <w:rsid w:val="0082271D"/>
    <w:rsid w:val="0082444A"/>
    <w:rsid w:val="00824B55"/>
    <w:rsid w:val="008256E3"/>
    <w:rsid w:val="00825B27"/>
    <w:rsid w:val="00825B33"/>
    <w:rsid w:val="00826104"/>
    <w:rsid w:val="008262CC"/>
    <w:rsid w:val="00826BE0"/>
    <w:rsid w:val="00827466"/>
    <w:rsid w:val="008303CA"/>
    <w:rsid w:val="00830712"/>
    <w:rsid w:val="00831073"/>
    <w:rsid w:val="00831754"/>
    <w:rsid w:val="008318AC"/>
    <w:rsid w:val="008319C0"/>
    <w:rsid w:val="00831D62"/>
    <w:rsid w:val="00832123"/>
    <w:rsid w:val="00832647"/>
    <w:rsid w:val="00833B65"/>
    <w:rsid w:val="00833F9A"/>
    <w:rsid w:val="008347DD"/>
    <w:rsid w:val="008350B2"/>
    <w:rsid w:val="00835511"/>
    <w:rsid w:val="00835B6B"/>
    <w:rsid w:val="0083626C"/>
    <w:rsid w:val="00836686"/>
    <w:rsid w:val="008369F4"/>
    <w:rsid w:val="008379E3"/>
    <w:rsid w:val="00837AB4"/>
    <w:rsid w:val="00840660"/>
    <w:rsid w:val="00840B12"/>
    <w:rsid w:val="008410FB"/>
    <w:rsid w:val="00841AFE"/>
    <w:rsid w:val="00841ED6"/>
    <w:rsid w:val="00841FF2"/>
    <w:rsid w:val="00842E51"/>
    <w:rsid w:val="00843061"/>
    <w:rsid w:val="00843842"/>
    <w:rsid w:val="00843D85"/>
    <w:rsid w:val="00844070"/>
    <w:rsid w:val="00844438"/>
    <w:rsid w:val="00844799"/>
    <w:rsid w:val="00844EB1"/>
    <w:rsid w:val="0084558A"/>
    <w:rsid w:val="00845961"/>
    <w:rsid w:val="00845B00"/>
    <w:rsid w:val="00846248"/>
    <w:rsid w:val="008467BA"/>
    <w:rsid w:val="00847F65"/>
    <w:rsid w:val="00850B34"/>
    <w:rsid w:val="00851266"/>
    <w:rsid w:val="00851929"/>
    <w:rsid w:val="00851A3A"/>
    <w:rsid w:val="008527ED"/>
    <w:rsid w:val="00852923"/>
    <w:rsid w:val="008531DA"/>
    <w:rsid w:val="00853317"/>
    <w:rsid w:val="0085344D"/>
    <w:rsid w:val="008542F7"/>
    <w:rsid w:val="008544E0"/>
    <w:rsid w:val="0085477F"/>
    <w:rsid w:val="0085493E"/>
    <w:rsid w:val="00854AE6"/>
    <w:rsid w:val="00855075"/>
    <w:rsid w:val="00856948"/>
    <w:rsid w:val="00857000"/>
    <w:rsid w:val="00857747"/>
    <w:rsid w:val="00857C3E"/>
    <w:rsid w:val="00860418"/>
    <w:rsid w:val="008609C2"/>
    <w:rsid w:val="0086177E"/>
    <w:rsid w:val="00861796"/>
    <w:rsid w:val="00863E33"/>
    <w:rsid w:val="00864B4C"/>
    <w:rsid w:val="008656B8"/>
    <w:rsid w:val="00866181"/>
    <w:rsid w:val="00866CF0"/>
    <w:rsid w:val="00866ECA"/>
    <w:rsid w:val="008672E8"/>
    <w:rsid w:val="008675F8"/>
    <w:rsid w:val="008677B0"/>
    <w:rsid w:val="008702B9"/>
    <w:rsid w:val="008705AB"/>
    <w:rsid w:val="00870CD5"/>
    <w:rsid w:val="00871822"/>
    <w:rsid w:val="008719C0"/>
    <w:rsid w:val="00872B39"/>
    <w:rsid w:val="00872C63"/>
    <w:rsid w:val="00873BCD"/>
    <w:rsid w:val="00873D22"/>
    <w:rsid w:val="00874AB5"/>
    <w:rsid w:val="00874AD2"/>
    <w:rsid w:val="00874FCD"/>
    <w:rsid w:val="008750B5"/>
    <w:rsid w:val="00876194"/>
    <w:rsid w:val="00876966"/>
    <w:rsid w:val="00876C6B"/>
    <w:rsid w:val="00876DE3"/>
    <w:rsid w:val="00877241"/>
    <w:rsid w:val="008773C3"/>
    <w:rsid w:val="0088126E"/>
    <w:rsid w:val="008817DA"/>
    <w:rsid w:val="00881AEE"/>
    <w:rsid w:val="00881B86"/>
    <w:rsid w:val="00881FB0"/>
    <w:rsid w:val="008820FD"/>
    <w:rsid w:val="0088216C"/>
    <w:rsid w:val="00882774"/>
    <w:rsid w:val="00882EC9"/>
    <w:rsid w:val="008831E9"/>
    <w:rsid w:val="00883502"/>
    <w:rsid w:val="008842F8"/>
    <w:rsid w:val="008843E0"/>
    <w:rsid w:val="0088441D"/>
    <w:rsid w:val="00885231"/>
    <w:rsid w:val="008858EC"/>
    <w:rsid w:val="00885BAE"/>
    <w:rsid w:val="00885D13"/>
    <w:rsid w:val="00886F34"/>
    <w:rsid w:val="00887158"/>
    <w:rsid w:val="008874E9"/>
    <w:rsid w:val="008876D2"/>
    <w:rsid w:val="0088776F"/>
    <w:rsid w:val="00887CDB"/>
    <w:rsid w:val="008901A0"/>
    <w:rsid w:val="008902C4"/>
    <w:rsid w:val="0089080A"/>
    <w:rsid w:val="00890C19"/>
    <w:rsid w:val="00890E33"/>
    <w:rsid w:val="00892522"/>
    <w:rsid w:val="00892CD1"/>
    <w:rsid w:val="00893207"/>
    <w:rsid w:val="00893703"/>
    <w:rsid w:val="00893890"/>
    <w:rsid w:val="00893B69"/>
    <w:rsid w:val="00893C90"/>
    <w:rsid w:val="008948B0"/>
    <w:rsid w:val="00894CC0"/>
    <w:rsid w:val="00894EB4"/>
    <w:rsid w:val="008959F8"/>
    <w:rsid w:val="00895A44"/>
    <w:rsid w:val="00895D49"/>
    <w:rsid w:val="008965FB"/>
    <w:rsid w:val="00896778"/>
    <w:rsid w:val="008969A5"/>
    <w:rsid w:val="00897095"/>
    <w:rsid w:val="00897135"/>
    <w:rsid w:val="0089715B"/>
    <w:rsid w:val="008A0188"/>
    <w:rsid w:val="008A0192"/>
    <w:rsid w:val="008A0265"/>
    <w:rsid w:val="008A1F9B"/>
    <w:rsid w:val="008A286E"/>
    <w:rsid w:val="008A2913"/>
    <w:rsid w:val="008A3354"/>
    <w:rsid w:val="008A365D"/>
    <w:rsid w:val="008A42E2"/>
    <w:rsid w:val="008A4677"/>
    <w:rsid w:val="008A47A7"/>
    <w:rsid w:val="008A4A02"/>
    <w:rsid w:val="008A4A32"/>
    <w:rsid w:val="008A4D4C"/>
    <w:rsid w:val="008A5364"/>
    <w:rsid w:val="008A547C"/>
    <w:rsid w:val="008A5712"/>
    <w:rsid w:val="008A5AC3"/>
    <w:rsid w:val="008A5D5E"/>
    <w:rsid w:val="008A72E3"/>
    <w:rsid w:val="008A7889"/>
    <w:rsid w:val="008A7E01"/>
    <w:rsid w:val="008B0032"/>
    <w:rsid w:val="008B2666"/>
    <w:rsid w:val="008B2A71"/>
    <w:rsid w:val="008B2C15"/>
    <w:rsid w:val="008B3996"/>
    <w:rsid w:val="008B3D09"/>
    <w:rsid w:val="008B45A9"/>
    <w:rsid w:val="008B4650"/>
    <w:rsid w:val="008B481F"/>
    <w:rsid w:val="008B503E"/>
    <w:rsid w:val="008B5499"/>
    <w:rsid w:val="008B582D"/>
    <w:rsid w:val="008B5833"/>
    <w:rsid w:val="008B6334"/>
    <w:rsid w:val="008B643C"/>
    <w:rsid w:val="008B6C41"/>
    <w:rsid w:val="008B789D"/>
    <w:rsid w:val="008B7E8C"/>
    <w:rsid w:val="008B7F7C"/>
    <w:rsid w:val="008C023B"/>
    <w:rsid w:val="008C0251"/>
    <w:rsid w:val="008C0C48"/>
    <w:rsid w:val="008C0EF2"/>
    <w:rsid w:val="008C1CD8"/>
    <w:rsid w:val="008C2BA2"/>
    <w:rsid w:val="008C3933"/>
    <w:rsid w:val="008C410F"/>
    <w:rsid w:val="008C43C3"/>
    <w:rsid w:val="008C56A0"/>
    <w:rsid w:val="008C5D03"/>
    <w:rsid w:val="008C725D"/>
    <w:rsid w:val="008C74A1"/>
    <w:rsid w:val="008C77DD"/>
    <w:rsid w:val="008D002B"/>
    <w:rsid w:val="008D01A4"/>
    <w:rsid w:val="008D08C0"/>
    <w:rsid w:val="008D0EFD"/>
    <w:rsid w:val="008D10D3"/>
    <w:rsid w:val="008D138C"/>
    <w:rsid w:val="008D164C"/>
    <w:rsid w:val="008D18B3"/>
    <w:rsid w:val="008D1B34"/>
    <w:rsid w:val="008D1CC1"/>
    <w:rsid w:val="008D21AD"/>
    <w:rsid w:val="008D23B1"/>
    <w:rsid w:val="008D30C2"/>
    <w:rsid w:val="008D405E"/>
    <w:rsid w:val="008D440E"/>
    <w:rsid w:val="008D4C6F"/>
    <w:rsid w:val="008D4D73"/>
    <w:rsid w:val="008D4ED4"/>
    <w:rsid w:val="008D51C5"/>
    <w:rsid w:val="008D6872"/>
    <w:rsid w:val="008D6D1D"/>
    <w:rsid w:val="008D7EBE"/>
    <w:rsid w:val="008E000F"/>
    <w:rsid w:val="008E0083"/>
    <w:rsid w:val="008E117F"/>
    <w:rsid w:val="008E3183"/>
    <w:rsid w:val="008E370A"/>
    <w:rsid w:val="008E46BA"/>
    <w:rsid w:val="008E5049"/>
    <w:rsid w:val="008E5561"/>
    <w:rsid w:val="008E56F6"/>
    <w:rsid w:val="008E5736"/>
    <w:rsid w:val="008E5C07"/>
    <w:rsid w:val="008E5CAF"/>
    <w:rsid w:val="008E5E97"/>
    <w:rsid w:val="008E6E05"/>
    <w:rsid w:val="008E706C"/>
    <w:rsid w:val="008E74F4"/>
    <w:rsid w:val="008E764C"/>
    <w:rsid w:val="008E76DC"/>
    <w:rsid w:val="008E796D"/>
    <w:rsid w:val="008E79F5"/>
    <w:rsid w:val="008E7DFF"/>
    <w:rsid w:val="008F0A35"/>
    <w:rsid w:val="008F1C5B"/>
    <w:rsid w:val="008F2D3B"/>
    <w:rsid w:val="008F2D5E"/>
    <w:rsid w:val="008F3158"/>
    <w:rsid w:val="008F3282"/>
    <w:rsid w:val="008F33FA"/>
    <w:rsid w:val="008F34CF"/>
    <w:rsid w:val="008F384F"/>
    <w:rsid w:val="008F3C44"/>
    <w:rsid w:val="008F448F"/>
    <w:rsid w:val="008F4A6F"/>
    <w:rsid w:val="008F4D02"/>
    <w:rsid w:val="008F598A"/>
    <w:rsid w:val="008F5E13"/>
    <w:rsid w:val="008F66A9"/>
    <w:rsid w:val="008F69C9"/>
    <w:rsid w:val="008F6CC0"/>
    <w:rsid w:val="008F6E42"/>
    <w:rsid w:val="008F7122"/>
    <w:rsid w:val="008F7853"/>
    <w:rsid w:val="008F79D2"/>
    <w:rsid w:val="008F7E4B"/>
    <w:rsid w:val="0090098E"/>
    <w:rsid w:val="009009DE"/>
    <w:rsid w:val="00900BF8"/>
    <w:rsid w:val="00900C1C"/>
    <w:rsid w:val="009011A1"/>
    <w:rsid w:val="009018F3"/>
    <w:rsid w:val="00901AA6"/>
    <w:rsid w:val="009020D0"/>
    <w:rsid w:val="00902634"/>
    <w:rsid w:val="009026A1"/>
    <w:rsid w:val="0090292C"/>
    <w:rsid w:val="009029B7"/>
    <w:rsid w:val="00902CC2"/>
    <w:rsid w:val="00902DC8"/>
    <w:rsid w:val="00902DDA"/>
    <w:rsid w:val="00903072"/>
    <w:rsid w:val="009030FD"/>
    <w:rsid w:val="00903D57"/>
    <w:rsid w:val="0090405A"/>
    <w:rsid w:val="009043D2"/>
    <w:rsid w:val="009043FC"/>
    <w:rsid w:val="00904864"/>
    <w:rsid w:val="009059C9"/>
    <w:rsid w:val="00906187"/>
    <w:rsid w:val="009062B5"/>
    <w:rsid w:val="009066FB"/>
    <w:rsid w:val="00906A29"/>
    <w:rsid w:val="00906DB2"/>
    <w:rsid w:val="00907646"/>
    <w:rsid w:val="00907E01"/>
    <w:rsid w:val="00910918"/>
    <w:rsid w:val="00910B02"/>
    <w:rsid w:val="00910D2B"/>
    <w:rsid w:val="0091109E"/>
    <w:rsid w:val="009112C9"/>
    <w:rsid w:val="009112E6"/>
    <w:rsid w:val="00911D28"/>
    <w:rsid w:val="00911FB0"/>
    <w:rsid w:val="00912424"/>
    <w:rsid w:val="009140BC"/>
    <w:rsid w:val="0091436B"/>
    <w:rsid w:val="00914E67"/>
    <w:rsid w:val="009152FA"/>
    <w:rsid w:val="00917024"/>
    <w:rsid w:val="009170A7"/>
    <w:rsid w:val="00917BED"/>
    <w:rsid w:val="00917C6F"/>
    <w:rsid w:val="009202A1"/>
    <w:rsid w:val="009203F4"/>
    <w:rsid w:val="0092042E"/>
    <w:rsid w:val="00920658"/>
    <w:rsid w:val="00920D9D"/>
    <w:rsid w:val="009213D3"/>
    <w:rsid w:val="0092180D"/>
    <w:rsid w:val="0092190C"/>
    <w:rsid w:val="00921AC0"/>
    <w:rsid w:val="00921BE5"/>
    <w:rsid w:val="00921C94"/>
    <w:rsid w:val="00921FBC"/>
    <w:rsid w:val="00922874"/>
    <w:rsid w:val="00922C98"/>
    <w:rsid w:val="00922ED1"/>
    <w:rsid w:val="009231B1"/>
    <w:rsid w:val="00923ADF"/>
    <w:rsid w:val="00924412"/>
    <w:rsid w:val="009244D9"/>
    <w:rsid w:val="00924979"/>
    <w:rsid w:val="009258B7"/>
    <w:rsid w:val="00926301"/>
    <w:rsid w:val="00926C45"/>
    <w:rsid w:val="00926C70"/>
    <w:rsid w:val="00927140"/>
    <w:rsid w:val="009271D3"/>
    <w:rsid w:val="0093015B"/>
    <w:rsid w:val="00930A27"/>
    <w:rsid w:val="00930A36"/>
    <w:rsid w:val="0093111F"/>
    <w:rsid w:val="0093191E"/>
    <w:rsid w:val="00932B6C"/>
    <w:rsid w:val="0093367D"/>
    <w:rsid w:val="0093384B"/>
    <w:rsid w:val="009338B1"/>
    <w:rsid w:val="00933A1B"/>
    <w:rsid w:val="0093447E"/>
    <w:rsid w:val="00934A03"/>
    <w:rsid w:val="00934A60"/>
    <w:rsid w:val="00936BE0"/>
    <w:rsid w:val="00936D38"/>
    <w:rsid w:val="00936F81"/>
    <w:rsid w:val="00937382"/>
    <w:rsid w:val="0093770D"/>
    <w:rsid w:val="0094007C"/>
    <w:rsid w:val="00940751"/>
    <w:rsid w:val="00940F5B"/>
    <w:rsid w:val="009419B3"/>
    <w:rsid w:val="0094201A"/>
    <w:rsid w:val="00942497"/>
    <w:rsid w:val="0094310F"/>
    <w:rsid w:val="009448A1"/>
    <w:rsid w:val="00944B58"/>
    <w:rsid w:val="00944B7E"/>
    <w:rsid w:val="00944BD2"/>
    <w:rsid w:val="009457D7"/>
    <w:rsid w:val="00945D24"/>
    <w:rsid w:val="00945D70"/>
    <w:rsid w:val="00946483"/>
    <w:rsid w:val="00947750"/>
    <w:rsid w:val="009477E3"/>
    <w:rsid w:val="0095128D"/>
    <w:rsid w:val="00951487"/>
    <w:rsid w:val="00951648"/>
    <w:rsid w:val="00951797"/>
    <w:rsid w:val="009518D3"/>
    <w:rsid w:val="009522E0"/>
    <w:rsid w:val="009524D4"/>
    <w:rsid w:val="0095257B"/>
    <w:rsid w:val="0095259F"/>
    <w:rsid w:val="00952B8F"/>
    <w:rsid w:val="00952CC6"/>
    <w:rsid w:val="00952D71"/>
    <w:rsid w:val="0095329B"/>
    <w:rsid w:val="0095375A"/>
    <w:rsid w:val="00953D7E"/>
    <w:rsid w:val="009546CA"/>
    <w:rsid w:val="00954BCD"/>
    <w:rsid w:val="0095557F"/>
    <w:rsid w:val="00955D9A"/>
    <w:rsid w:val="00956230"/>
    <w:rsid w:val="0095668C"/>
    <w:rsid w:val="00956A95"/>
    <w:rsid w:val="00956B74"/>
    <w:rsid w:val="00956F9F"/>
    <w:rsid w:val="009572AE"/>
    <w:rsid w:val="00957F99"/>
    <w:rsid w:val="00960046"/>
    <w:rsid w:val="00960220"/>
    <w:rsid w:val="0096056B"/>
    <w:rsid w:val="0096089D"/>
    <w:rsid w:val="00960AEF"/>
    <w:rsid w:val="00960F06"/>
    <w:rsid w:val="00961578"/>
    <w:rsid w:val="00961A2C"/>
    <w:rsid w:val="00961E46"/>
    <w:rsid w:val="009622C2"/>
    <w:rsid w:val="009624BD"/>
    <w:rsid w:val="00962CE7"/>
    <w:rsid w:val="009645FE"/>
    <w:rsid w:val="00964D68"/>
    <w:rsid w:val="009650B4"/>
    <w:rsid w:val="009657E3"/>
    <w:rsid w:val="00965DC3"/>
    <w:rsid w:val="0096702D"/>
    <w:rsid w:val="009676BE"/>
    <w:rsid w:val="00967A4F"/>
    <w:rsid w:val="00967B0E"/>
    <w:rsid w:val="00967EF9"/>
    <w:rsid w:val="00970120"/>
    <w:rsid w:val="00970399"/>
    <w:rsid w:val="00970790"/>
    <w:rsid w:val="00971701"/>
    <w:rsid w:val="009717C2"/>
    <w:rsid w:val="00971BFC"/>
    <w:rsid w:val="00971CDE"/>
    <w:rsid w:val="00971FD6"/>
    <w:rsid w:val="00972085"/>
    <w:rsid w:val="00972366"/>
    <w:rsid w:val="0097239D"/>
    <w:rsid w:val="0097275A"/>
    <w:rsid w:val="0097376F"/>
    <w:rsid w:val="00973CA7"/>
    <w:rsid w:val="0097434A"/>
    <w:rsid w:val="00974788"/>
    <w:rsid w:val="00974C2F"/>
    <w:rsid w:val="00975711"/>
    <w:rsid w:val="00976861"/>
    <w:rsid w:val="00977479"/>
    <w:rsid w:val="0098099C"/>
    <w:rsid w:val="00980A3B"/>
    <w:rsid w:val="00980BCB"/>
    <w:rsid w:val="00981323"/>
    <w:rsid w:val="00981D40"/>
    <w:rsid w:val="00981FAF"/>
    <w:rsid w:val="009825A2"/>
    <w:rsid w:val="00982A2B"/>
    <w:rsid w:val="00982A75"/>
    <w:rsid w:val="00982B64"/>
    <w:rsid w:val="00982DD1"/>
    <w:rsid w:val="0098423D"/>
    <w:rsid w:val="00984914"/>
    <w:rsid w:val="00984AE8"/>
    <w:rsid w:val="00984AF2"/>
    <w:rsid w:val="0098517D"/>
    <w:rsid w:val="00986B04"/>
    <w:rsid w:val="00986C12"/>
    <w:rsid w:val="0098758B"/>
    <w:rsid w:val="0099122C"/>
    <w:rsid w:val="00991244"/>
    <w:rsid w:val="0099185B"/>
    <w:rsid w:val="00991C4F"/>
    <w:rsid w:val="00992082"/>
    <w:rsid w:val="00992502"/>
    <w:rsid w:val="00992588"/>
    <w:rsid w:val="009926C6"/>
    <w:rsid w:val="00992E87"/>
    <w:rsid w:val="00993323"/>
    <w:rsid w:val="00993461"/>
    <w:rsid w:val="00993AD6"/>
    <w:rsid w:val="0099453D"/>
    <w:rsid w:val="00994812"/>
    <w:rsid w:val="00994CE4"/>
    <w:rsid w:val="00995446"/>
    <w:rsid w:val="0099566C"/>
    <w:rsid w:val="00996343"/>
    <w:rsid w:val="009972D2"/>
    <w:rsid w:val="00997A0D"/>
    <w:rsid w:val="00997A7A"/>
    <w:rsid w:val="009A0158"/>
    <w:rsid w:val="009A01AC"/>
    <w:rsid w:val="009A0B52"/>
    <w:rsid w:val="009A0B92"/>
    <w:rsid w:val="009A0C2B"/>
    <w:rsid w:val="009A16B4"/>
    <w:rsid w:val="009A1A7A"/>
    <w:rsid w:val="009A2018"/>
    <w:rsid w:val="009A22BA"/>
    <w:rsid w:val="009A27A5"/>
    <w:rsid w:val="009A2BA6"/>
    <w:rsid w:val="009A3628"/>
    <w:rsid w:val="009A3942"/>
    <w:rsid w:val="009A3D33"/>
    <w:rsid w:val="009A3D9E"/>
    <w:rsid w:val="009A4044"/>
    <w:rsid w:val="009A42F3"/>
    <w:rsid w:val="009A4521"/>
    <w:rsid w:val="009A483B"/>
    <w:rsid w:val="009A4B03"/>
    <w:rsid w:val="009A4BE5"/>
    <w:rsid w:val="009A51FC"/>
    <w:rsid w:val="009A5258"/>
    <w:rsid w:val="009A529A"/>
    <w:rsid w:val="009A643B"/>
    <w:rsid w:val="009A6498"/>
    <w:rsid w:val="009A6E27"/>
    <w:rsid w:val="009A7434"/>
    <w:rsid w:val="009A77AF"/>
    <w:rsid w:val="009A7A8F"/>
    <w:rsid w:val="009A7B8E"/>
    <w:rsid w:val="009A7C8F"/>
    <w:rsid w:val="009B0F77"/>
    <w:rsid w:val="009B1A2B"/>
    <w:rsid w:val="009B225A"/>
    <w:rsid w:val="009B2468"/>
    <w:rsid w:val="009B2729"/>
    <w:rsid w:val="009B28CF"/>
    <w:rsid w:val="009B3736"/>
    <w:rsid w:val="009B3B29"/>
    <w:rsid w:val="009B49C3"/>
    <w:rsid w:val="009B49EC"/>
    <w:rsid w:val="009B4B89"/>
    <w:rsid w:val="009B4F9F"/>
    <w:rsid w:val="009B504E"/>
    <w:rsid w:val="009B50F5"/>
    <w:rsid w:val="009B5DE7"/>
    <w:rsid w:val="009B6123"/>
    <w:rsid w:val="009B6141"/>
    <w:rsid w:val="009B670A"/>
    <w:rsid w:val="009B673D"/>
    <w:rsid w:val="009C06B9"/>
    <w:rsid w:val="009C1508"/>
    <w:rsid w:val="009C193D"/>
    <w:rsid w:val="009C1E70"/>
    <w:rsid w:val="009C2FF3"/>
    <w:rsid w:val="009C328B"/>
    <w:rsid w:val="009C399A"/>
    <w:rsid w:val="009C3A42"/>
    <w:rsid w:val="009C3D42"/>
    <w:rsid w:val="009C3DA3"/>
    <w:rsid w:val="009C4064"/>
    <w:rsid w:val="009C4401"/>
    <w:rsid w:val="009C4AB2"/>
    <w:rsid w:val="009C4ADC"/>
    <w:rsid w:val="009C4B82"/>
    <w:rsid w:val="009C4E41"/>
    <w:rsid w:val="009C59E2"/>
    <w:rsid w:val="009C5AC2"/>
    <w:rsid w:val="009C5D69"/>
    <w:rsid w:val="009C607C"/>
    <w:rsid w:val="009C6781"/>
    <w:rsid w:val="009C68F2"/>
    <w:rsid w:val="009C7172"/>
    <w:rsid w:val="009C742A"/>
    <w:rsid w:val="009C7918"/>
    <w:rsid w:val="009C7EDA"/>
    <w:rsid w:val="009D0815"/>
    <w:rsid w:val="009D12E9"/>
    <w:rsid w:val="009D15B9"/>
    <w:rsid w:val="009D1844"/>
    <w:rsid w:val="009D1ECB"/>
    <w:rsid w:val="009D23F3"/>
    <w:rsid w:val="009D2A18"/>
    <w:rsid w:val="009D2DFA"/>
    <w:rsid w:val="009D346B"/>
    <w:rsid w:val="009D34F2"/>
    <w:rsid w:val="009D37D7"/>
    <w:rsid w:val="009D3FFC"/>
    <w:rsid w:val="009D4751"/>
    <w:rsid w:val="009D4E4A"/>
    <w:rsid w:val="009D50A5"/>
    <w:rsid w:val="009D50CF"/>
    <w:rsid w:val="009D636D"/>
    <w:rsid w:val="009D6717"/>
    <w:rsid w:val="009D68D3"/>
    <w:rsid w:val="009D6BB8"/>
    <w:rsid w:val="009D70CC"/>
    <w:rsid w:val="009D7595"/>
    <w:rsid w:val="009D7B86"/>
    <w:rsid w:val="009E0661"/>
    <w:rsid w:val="009E069E"/>
    <w:rsid w:val="009E09AD"/>
    <w:rsid w:val="009E0DFB"/>
    <w:rsid w:val="009E1772"/>
    <w:rsid w:val="009E228B"/>
    <w:rsid w:val="009E2291"/>
    <w:rsid w:val="009E254B"/>
    <w:rsid w:val="009E2A17"/>
    <w:rsid w:val="009E2BAB"/>
    <w:rsid w:val="009E3334"/>
    <w:rsid w:val="009E3987"/>
    <w:rsid w:val="009E40F0"/>
    <w:rsid w:val="009E420F"/>
    <w:rsid w:val="009E4253"/>
    <w:rsid w:val="009E4786"/>
    <w:rsid w:val="009E4FB0"/>
    <w:rsid w:val="009E51F3"/>
    <w:rsid w:val="009E642C"/>
    <w:rsid w:val="009E6CCD"/>
    <w:rsid w:val="009E75B5"/>
    <w:rsid w:val="009E771A"/>
    <w:rsid w:val="009E79E7"/>
    <w:rsid w:val="009F06C5"/>
    <w:rsid w:val="009F096E"/>
    <w:rsid w:val="009F0DC8"/>
    <w:rsid w:val="009F1514"/>
    <w:rsid w:val="009F27FE"/>
    <w:rsid w:val="009F2A11"/>
    <w:rsid w:val="009F2B1F"/>
    <w:rsid w:val="009F3386"/>
    <w:rsid w:val="009F339E"/>
    <w:rsid w:val="009F344C"/>
    <w:rsid w:val="009F386E"/>
    <w:rsid w:val="009F3ACC"/>
    <w:rsid w:val="009F3E18"/>
    <w:rsid w:val="009F429B"/>
    <w:rsid w:val="009F43E9"/>
    <w:rsid w:val="009F4427"/>
    <w:rsid w:val="009F4ADE"/>
    <w:rsid w:val="009F4BC0"/>
    <w:rsid w:val="009F51B1"/>
    <w:rsid w:val="009F62F7"/>
    <w:rsid w:val="009F6A7D"/>
    <w:rsid w:val="009F6C55"/>
    <w:rsid w:val="009F7094"/>
    <w:rsid w:val="009F7F74"/>
    <w:rsid w:val="00A00143"/>
    <w:rsid w:val="00A00A0C"/>
    <w:rsid w:val="00A00A2D"/>
    <w:rsid w:val="00A01181"/>
    <w:rsid w:val="00A01271"/>
    <w:rsid w:val="00A01783"/>
    <w:rsid w:val="00A018D3"/>
    <w:rsid w:val="00A02327"/>
    <w:rsid w:val="00A0292B"/>
    <w:rsid w:val="00A03131"/>
    <w:rsid w:val="00A036A6"/>
    <w:rsid w:val="00A03DEC"/>
    <w:rsid w:val="00A04158"/>
    <w:rsid w:val="00A04433"/>
    <w:rsid w:val="00A057F6"/>
    <w:rsid w:val="00A05CEC"/>
    <w:rsid w:val="00A05F21"/>
    <w:rsid w:val="00A0615D"/>
    <w:rsid w:val="00A062A1"/>
    <w:rsid w:val="00A06381"/>
    <w:rsid w:val="00A07018"/>
    <w:rsid w:val="00A07135"/>
    <w:rsid w:val="00A073A1"/>
    <w:rsid w:val="00A07A0D"/>
    <w:rsid w:val="00A07DC5"/>
    <w:rsid w:val="00A10A72"/>
    <w:rsid w:val="00A11385"/>
    <w:rsid w:val="00A11736"/>
    <w:rsid w:val="00A11AF0"/>
    <w:rsid w:val="00A11DD9"/>
    <w:rsid w:val="00A1295E"/>
    <w:rsid w:val="00A12C1C"/>
    <w:rsid w:val="00A12ECF"/>
    <w:rsid w:val="00A12F3A"/>
    <w:rsid w:val="00A13E6C"/>
    <w:rsid w:val="00A13FB8"/>
    <w:rsid w:val="00A1460E"/>
    <w:rsid w:val="00A14643"/>
    <w:rsid w:val="00A1479E"/>
    <w:rsid w:val="00A14C3A"/>
    <w:rsid w:val="00A1563B"/>
    <w:rsid w:val="00A15947"/>
    <w:rsid w:val="00A15E1C"/>
    <w:rsid w:val="00A16250"/>
    <w:rsid w:val="00A168DE"/>
    <w:rsid w:val="00A17746"/>
    <w:rsid w:val="00A17BD0"/>
    <w:rsid w:val="00A2011A"/>
    <w:rsid w:val="00A204F9"/>
    <w:rsid w:val="00A215DD"/>
    <w:rsid w:val="00A21845"/>
    <w:rsid w:val="00A218B4"/>
    <w:rsid w:val="00A2194A"/>
    <w:rsid w:val="00A21B96"/>
    <w:rsid w:val="00A21C73"/>
    <w:rsid w:val="00A22D78"/>
    <w:rsid w:val="00A22FE8"/>
    <w:rsid w:val="00A236AD"/>
    <w:rsid w:val="00A23FB0"/>
    <w:rsid w:val="00A24750"/>
    <w:rsid w:val="00A2526B"/>
    <w:rsid w:val="00A25CC8"/>
    <w:rsid w:val="00A26D6B"/>
    <w:rsid w:val="00A27B9B"/>
    <w:rsid w:val="00A27D79"/>
    <w:rsid w:val="00A27F30"/>
    <w:rsid w:val="00A303A3"/>
    <w:rsid w:val="00A3055B"/>
    <w:rsid w:val="00A30D3D"/>
    <w:rsid w:val="00A30D41"/>
    <w:rsid w:val="00A310C3"/>
    <w:rsid w:val="00A3154B"/>
    <w:rsid w:val="00A31D9D"/>
    <w:rsid w:val="00A322ED"/>
    <w:rsid w:val="00A325B1"/>
    <w:rsid w:val="00A32E77"/>
    <w:rsid w:val="00A330F2"/>
    <w:rsid w:val="00A33EAE"/>
    <w:rsid w:val="00A3407C"/>
    <w:rsid w:val="00A34242"/>
    <w:rsid w:val="00A3477A"/>
    <w:rsid w:val="00A347DB"/>
    <w:rsid w:val="00A34A00"/>
    <w:rsid w:val="00A34A9A"/>
    <w:rsid w:val="00A34FB2"/>
    <w:rsid w:val="00A351F4"/>
    <w:rsid w:val="00A358CF"/>
    <w:rsid w:val="00A36671"/>
    <w:rsid w:val="00A371E6"/>
    <w:rsid w:val="00A37C2A"/>
    <w:rsid w:val="00A40122"/>
    <w:rsid w:val="00A40219"/>
    <w:rsid w:val="00A40373"/>
    <w:rsid w:val="00A405F8"/>
    <w:rsid w:val="00A411B1"/>
    <w:rsid w:val="00A415AA"/>
    <w:rsid w:val="00A41EAD"/>
    <w:rsid w:val="00A42023"/>
    <w:rsid w:val="00A42159"/>
    <w:rsid w:val="00A42226"/>
    <w:rsid w:val="00A4307F"/>
    <w:rsid w:val="00A432DA"/>
    <w:rsid w:val="00A4366E"/>
    <w:rsid w:val="00A43D52"/>
    <w:rsid w:val="00A43EEE"/>
    <w:rsid w:val="00A43FCC"/>
    <w:rsid w:val="00A447E7"/>
    <w:rsid w:val="00A45851"/>
    <w:rsid w:val="00A45E79"/>
    <w:rsid w:val="00A462CA"/>
    <w:rsid w:val="00A479C9"/>
    <w:rsid w:val="00A508B8"/>
    <w:rsid w:val="00A50DD8"/>
    <w:rsid w:val="00A50EBB"/>
    <w:rsid w:val="00A518FC"/>
    <w:rsid w:val="00A51A35"/>
    <w:rsid w:val="00A51BEF"/>
    <w:rsid w:val="00A52109"/>
    <w:rsid w:val="00A5285D"/>
    <w:rsid w:val="00A53393"/>
    <w:rsid w:val="00A53E99"/>
    <w:rsid w:val="00A54A19"/>
    <w:rsid w:val="00A5502F"/>
    <w:rsid w:val="00A550DE"/>
    <w:rsid w:val="00A552D1"/>
    <w:rsid w:val="00A55527"/>
    <w:rsid w:val="00A55D70"/>
    <w:rsid w:val="00A564DE"/>
    <w:rsid w:val="00A60E31"/>
    <w:rsid w:val="00A616E1"/>
    <w:rsid w:val="00A61833"/>
    <w:rsid w:val="00A62828"/>
    <w:rsid w:val="00A62842"/>
    <w:rsid w:val="00A62F05"/>
    <w:rsid w:val="00A630BC"/>
    <w:rsid w:val="00A6492E"/>
    <w:rsid w:val="00A65159"/>
    <w:rsid w:val="00A651B5"/>
    <w:rsid w:val="00A65831"/>
    <w:rsid w:val="00A65C75"/>
    <w:rsid w:val="00A66576"/>
    <w:rsid w:val="00A66973"/>
    <w:rsid w:val="00A66C88"/>
    <w:rsid w:val="00A66DF4"/>
    <w:rsid w:val="00A706B2"/>
    <w:rsid w:val="00A7194C"/>
    <w:rsid w:val="00A7276E"/>
    <w:rsid w:val="00A73176"/>
    <w:rsid w:val="00A738BE"/>
    <w:rsid w:val="00A73B1D"/>
    <w:rsid w:val="00A73B8C"/>
    <w:rsid w:val="00A740F3"/>
    <w:rsid w:val="00A744D4"/>
    <w:rsid w:val="00A7489F"/>
    <w:rsid w:val="00A761FD"/>
    <w:rsid w:val="00A76DF9"/>
    <w:rsid w:val="00A76F01"/>
    <w:rsid w:val="00A77315"/>
    <w:rsid w:val="00A775CF"/>
    <w:rsid w:val="00A779AD"/>
    <w:rsid w:val="00A8012A"/>
    <w:rsid w:val="00A80138"/>
    <w:rsid w:val="00A803F3"/>
    <w:rsid w:val="00A80423"/>
    <w:rsid w:val="00A80452"/>
    <w:rsid w:val="00A8117E"/>
    <w:rsid w:val="00A81463"/>
    <w:rsid w:val="00A81606"/>
    <w:rsid w:val="00A8192E"/>
    <w:rsid w:val="00A81F06"/>
    <w:rsid w:val="00A82B3D"/>
    <w:rsid w:val="00A82EE1"/>
    <w:rsid w:val="00A83306"/>
    <w:rsid w:val="00A833A4"/>
    <w:rsid w:val="00A846F1"/>
    <w:rsid w:val="00A851E6"/>
    <w:rsid w:val="00A85B97"/>
    <w:rsid w:val="00A85D8B"/>
    <w:rsid w:val="00A86209"/>
    <w:rsid w:val="00A87969"/>
    <w:rsid w:val="00A87DE1"/>
    <w:rsid w:val="00A9305B"/>
    <w:rsid w:val="00A9324D"/>
    <w:rsid w:val="00A937BE"/>
    <w:rsid w:val="00A93A97"/>
    <w:rsid w:val="00A93BD9"/>
    <w:rsid w:val="00A94288"/>
    <w:rsid w:val="00A94349"/>
    <w:rsid w:val="00A9465F"/>
    <w:rsid w:val="00A94CEE"/>
    <w:rsid w:val="00A95473"/>
    <w:rsid w:val="00A9626A"/>
    <w:rsid w:val="00A97356"/>
    <w:rsid w:val="00A97681"/>
    <w:rsid w:val="00A97976"/>
    <w:rsid w:val="00A9798A"/>
    <w:rsid w:val="00A97EEE"/>
    <w:rsid w:val="00AA00DA"/>
    <w:rsid w:val="00AA05BA"/>
    <w:rsid w:val="00AA0861"/>
    <w:rsid w:val="00AA0E64"/>
    <w:rsid w:val="00AA15AF"/>
    <w:rsid w:val="00AA1BF0"/>
    <w:rsid w:val="00AA1F5E"/>
    <w:rsid w:val="00AA2338"/>
    <w:rsid w:val="00AA234A"/>
    <w:rsid w:val="00AA2578"/>
    <w:rsid w:val="00AA297F"/>
    <w:rsid w:val="00AA2FCA"/>
    <w:rsid w:val="00AA3C58"/>
    <w:rsid w:val="00AA4E23"/>
    <w:rsid w:val="00AA508B"/>
    <w:rsid w:val="00AA51E8"/>
    <w:rsid w:val="00AA7CA4"/>
    <w:rsid w:val="00AB04A3"/>
    <w:rsid w:val="00AB0552"/>
    <w:rsid w:val="00AB0DCB"/>
    <w:rsid w:val="00AB10D5"/>
    <w:rsid w:val="00AB11AE"/>
    <w:rsid w:val="00AB142E"/>
    <w:rsid w:val="00AB1CCE"/>
    <w:rsid w:val="00AB1E4B"/>
    <w:rsid w:val="00AB3F6B"/>
    <w:rsid w:val="00AB4292"/>
    <w:rsid w:val="00AB4BF8"/>
    <w:rsid w:val="00AB4E98"/>
    <w:rsid w:val="00AB501B"/>
    <w:rsid w:val="00AB53C6"/>
    <w:rsid w:val="00AB5D63"/>
    <w:rsid w:val="00AB5DCB"/>
    <w:rsid w:val="00AB6A8D"/>
    <w:rsid w:val="00AB6DDA"/>
    <w:rsid w:val="00AB79BA"/>
    <w:rsid w:val="00AB7D1B"/>
    <w:rsid w:val="00AB7FF1"/>
    <w:rsid w:val="00AB7FF8"/>
    <w:rsid w:val="00AC0072"/>
    <w:rsid w:val="00AC0300"/>
    <w:rsid w:val="00AC079C"/>
    <w:rsid w:val="00AC11A1"/>
    <w:rsid w:val="00AC134D"/>
    <w:rsid w:val="00AC20D7"/>
    <w:rsid w:val="00AC21C8"/>
    <w:rsid w:val="00AC2761"/>
    <w:rsid w:val="00AC3917"/>
    <w:rsid w:val="00AC4024"/>
    <w:rsid w:val="00AC436E"/>
    <w:rsid w:val="00AC537D"/>
    <w:rsid w:val="00AC5455"/>
    <w:rsid w:val="00AC57B7"/>
    <w:rsid w:val="00AC5D46"/>
    <w:rsid w:val="00AC5F47"/>
    <w:rsid w:val="00AC6680"/>
    <w:rsid w:val="00AC68BE"/>
    <w:rsid w:val="00AC77C6"/>
    <w:rsid w:val="00AC78DD"/>
    <w:rsid w:val="00AC7AFC"/>
    <w:rsid w:val="00AD0287"/>
    <w:rsid w:val="00AD0716"/>
    <w:rsid w:val="00AD0CD4"/>
    <w:rsid w:val="00AD0FF5"/>
    <w:rsid w:val="00AD139B"/>
    <w:rsid w:val="00AD1510"/>
    <w:rsid w:val="00AD220F"/>
    <w:rsid w:val="00AD27D4"/>
    <w:rsid w:val="00AD4630"/>
    <w:rsid w:val="00AD47BE"/>
    <w:rsid w:val="00AD47BF"/>
    <w:rsid w:val="00AD4C1E"/>
    <w:rsid w:val="00AD4E8D"/>
    <w:rsid w:val="00AD4EF5"/>
    <w:rsid w:val="00AD7F1C"/>
    <w:rsid w:val="00AE0BB6"/>
    <w:rsid w:val="00AE0C9D"/>
    <w:rsid w:val="00AE122A"/>
    <w:rsid w:val="00AE1861"/>
    <w:rsid w:val="00AE1C45"/>
    <w:rsid w:val="00AE23E5"/>
    <w:rsid w:val="00AE253B"/>
    <w:rsid w:val="00AE35F9"/>
    <w:rsid w:val="00AE367E"/>
    <w:rsid w:val="00AE4AF8"/>
    <w:rsid w:val="00AE4E33"/>
    <w:rsid w:val="00AE52EA"/>
    <w:rsid w:val="00AE578C"/>
    <w:rsid w:val="00AE589E"/>
    <w:rsid w:val="00AE5B13"/>
    <w:rsid w:val="00AE64A4"/>
    <w:rsid w:val="00AE7A5B"/>
    <w:rsid w:val="00AE7BDC"/>
    <w:rsid w:val="00AF0384"/>
    <w:rsid w:val="00AF0640"/>
    <w:rsid w:val="00AF08D9"/>
    <w:rsid w:val="00AF0CAB"/>
    <w:rsid w:val="00AF10E8"/>
    <w:rsid w:val="00AF2012"/>
    <w:rsid w:val="00AF20E2"/>
    <w:rsid w:val="00AF349E"/>
    <w:rsid w:val="00AF39CC"/>
    <w:rsid w:val="00AF405F"/>
    <w:rsid w:val="00AF41B6"/>
    <w:rsid w:val="00AF4549"/>
    <w:rsid w:val="00AF4618"/>
    <w:rsid w:val="00AF4E3E"/>
    <w:rsid w:val="00AF4E3F"/>
    <w:rsid w:val="00AF4F66"/>
    <w:rsid w:val="00AF5610"/>
    <w:rsid w:val="00AF650F"/>
    <w:rsid w:val="00AF66C7"/>
    <w:rsid w:val="00AF68A5"/>
    <w:rsid w:val="00AF69FC"/>
    <w:rsid w:val="00AF7FD9"/>
    <w:rsid w:val="00B00794"/>
    <w:rsid w:val="00B00C5C"/>
    <w:rsid w:val="00B01DE0"/>
    <w:rsid w:val="00B02796"/>
    <w:rsid w:val="00B02948"/>
    <w:rsid w:val="00B02B09"/>
    <w:rsid w:val="00B0374A"/>
    <w:rsid w:val="00B03B80"/>
    <w:rsid w:val="00B048F3"/>
    <w:rsid w:val="00B04BDD"/>
    <w:rsid w:val="00B05625"/>
    <w:rsid w:val="00B0619E"/>
    <w:rsid w:val="00B0633A"/>
    <w:rsid w:val="00B06A7B"/>
    <w:rsid w:val="00B06C4F"/>
    <w:rsid w:val="00B0750B"/>
    <w:rsid w:val="00B07591"/>
    <w:rsid w:val="00B07C26"/>
    <w:rsid w:val="00B07CE2"/>
    <w:rsid w:val="00B10137"/>
    <w:rsid w:val="00B10404"/>
    <w:rsid w:val="00B10C44"/>
    <w:rsid w:val="00B11916"/>
    <w:rsid w:val="00B120DA"/>
    <w:rsid w:val="00B12250"/>
    <w:rsid w:val="00B12660"/>
    <w:rsid w:val="00B14148"/>
    <w:rsid w:val="00B14489"/>
    <w:rsid w:val="00B14CBF"/>
    <w:rsid w:val="00B15B58"/>
    <w:rsid w:val="00B15FC9"/>
    <w:rsid w:val="00B160F1"/>
    <w:rsid w:val="00B16100"/>
    <w:rsid w:val="00B161CA"/>
    <w:rsid w:val="00B16CDF"/>
    <w:rsid w:val="00B17A45"/>
    <w:rsid w:val="00B17ED3"/>
    <w:rsid w:val="00B2073A"/>
    <w:rsid w:val="00B2102F"/>
    <w:rsid w:val="00B214A7"/>
    <w:rsid w:val="00B21858"/>
    <w:rsid w:val="00B21FE8"/>
    <w:rsid w:val="00B22CA3"/>
    <w:rsid w:val="00B2306A"/>
    <w:rsid w:val="00B23C28"/>
    <w:rsid w:val="00B23DF4"/>
    <w:rsid w:val="00B23FC1"/>
    <w:rsid w:val="00B24D6F"/>
    <w:rsid w:val="00B25459"/>
    <w:rsid w:val="00B25DE9"/>
    <w:rsid w:val="00B26586"/>
    <w:rsid w:val="00B26601"/>
    <w:rsid w:val="00B26611"/>
    <w:rsid w:val="00B2709D"/>
    <w:rsid w:val="00B272ED"/>
    <w:rsid w:val="00B275B5"/>
    <w:rsid w:val="00B304E0"/>
    <w:rsid w:val="00B3055D"/>
    <w:rsid w:val="00B305F6"/>
    <w:rsid w:val="00B30F53"/>
    <w:rsid w:val="00B31000"/>
    <w:rsid w:val="00B31282"/>
    <w:rsid w:val="00B31F52"/>
    <w:rsid w:val="00B322C0"/>
    <w:rsid w:val="00B3278D"/>
    <w:rsid w:val="00B32C1E"/>
    <w:rsid w:val="00B33236"/>
    <w:rsid w:val="00B332E7"/>
    <w:rsid w:val="00B333CF"/>
    <w:rsid w:val="00B335EF"/>
    <w:rsid w:val="00B34085"/>
    <w:rsid w:val="00B34938"/>
    <w:rsid w:val="00B34971"/>
    <w:rsid w:val="00B34CA6"/>
    <w:rsid w:val="00B35181"/>
    <w:rsid w:val="00B35B41"/>
    <w:rsid w:val="00B371BF"/>
    <w:rsid w:val="00B3758E"/>
    <w:rsid w:val="00B3785F"/>
    <w:rsid w:val="00B4027E"/>
    <w:rsid w:val="00B40733"/>
    <w:rsid w:val="00B42A7E"/>
    <w:rsid w:val="00B42BD4"/>
    <w:rsid w:val="00B42CC7"/>
    <w:rsid w:val="00B42E13"/>
    <w:rsid w:val="00B436F3"/>
    <w:rsid w:val="00B43711"/>
    <w:rsid w:val="00B44D03"/>
    <w:rsid w:val="00B45593"/>
    <w:rsid w:val="00B45E18"/>
    <w:rsid w:val="00B46187"/>
    <w:rsid w:val="00B469CC"/>
    <w:rsid w:val="00B46DD6"/>
    <w:rsid w:val="00B46FC5"/>
    <w:rsid w:val="00B47007"/>
    <w:rsid w:val="00B4740D"/>
    <w:rsid w:val="00B47457"/>
    <w:rsid w:val="00B47BBF"/>
    <w:rsid w:val="00B47E39"/>
    <w:rsid w:val="00B502F8"/>
    <w:rsid w:val="00B50FF4"/>
    <w:rsid w:val="00B51D9B"/>
    <w:rsid w:val="00B52728"/>
    <w:rsid w:val="00B5299D"/>
    <w:rsid w:val="00B52BCB"/>
    <w:rsid w:val="00B5320E"/>
    <w:rsid w:val="00B532EA"/>
    <w:rsid w:val="00B5367F"/>
    <w:rsid w:val="00B536E8"/>
    <w:rsid w:val="00B538F9"/>
    <w:rsid w:val="00B54AD6"/>
    <w:rsid w:val="00B55156"/>
    <w:rsid w:val="00B55428"/>
    <w:rsid w:val="00B555F6"/>
    <w:rsid w:val="00B55F91"/>
    <w:rsid w:val="00B56270"/>
    <w:rsid w:val="00B56349"/>
    <w:rsid w:val="00B564D5"/>
    <w:rsid w:val="00B57D6D"/>
    <w:rsid w:val="00B60057"/>
    <w:rsid w:val="00B61494"/>
    <w:rsid w:val="00B616D4"/>
    <w:rsid w:val="00B618D0"/>
    <w:rsid w:val="00B624C3"/>
    <w:rsid w:val="00B627DD"/>
    <w:rsid w:val="00B62850"/>
    <w:rsid w:val="00B62E3D"/>
    <w:rsid w:val="00B631C5"/>
    <w:rsid w:val="00B633F2"/>
    <w:rsid w:val="00B63C50"/>
    <w:rsid w:val="00B63E1B"/>
    <w:rsid w:val="00B63F27"/>
    <w:rsid w:val="00B64046"/>
    <w:rsid w:val="00B642C2"/>
    <w:rsid w:val="00B64B26"/>
    <w:rsid w:val="00B6533D"/>
    <w:rsid w:val="00B663A5"/>
    <w:rsid w:val="00B66755"/>
    <w:rsid w:val="00B66776"/>
    <w:rsid w:val="00B66844"/>
    <w:rsid w:val="00B67542"/>
    <w:rsid w:val="00B67A32"/>
    <w:rsid w:val="00B67F4F"/>
    <w:rsid w:val="00B67FE0"/>
    <w:rsid w:val="00B703E7"/>
    <w:rsid w:val="00B70632"/>
    <w:rsid w:val="00B716E2"/>
    <w:rsid w:val="00B71844"/>
    <w:rsid w:val="00B72091"/>
    <w:rsid w:val="00B72A9D"/>
    <w:rsid w:val="00B7354F"/>
    <w:rsid w:val="00B73C71"/>
    <w:rsid w:val="00B743C2"/>
    <w:rsid w:val="00B7445C"/>
    <w:rsid w:val="00B74783"/>
    <w:rsid w:val="00B74AE0"/>
    <w:rsid w:val="00B757E6"/>
    <w:rsid w:val="00B75D10"/>
    <w:rsid w:val="00B7675C"/>
    <w:rsid w:val="00B76A8A"/>
    <w:rsid w:val="00B76B8E"/>
    <w:rsid w:val="00B76F69"/>
    <w:rsid w:val="00B771D8"/>
    <w:rsid w:val="00B777E6"/>
    <w:rsid w:val="00B777F3"/>
    <w:rsid w:val="00B817B7"/>
    <w:rsid w:val="00B830B7"/>
    <w:rsid w:val="00B83241"/>
    <w:rsid w:val="00B835DD"/>
    <w:rsid w:val="00B84699"/>
    <w:rsid w:val="00B859EC"/>
    <w:rsid w:val="00B862C1"/>
    <w:rsid w:val="00B8673F"/>
    <w:rsid w:val="00B86E1C"/>
    <w:rsid w:val="00B86EA4"/>
    <w:rsid w:val="00B90680"/>
    <w:rsid w:val="00B90F07"/>
    <w:rsid w:val="00B91255"/>
    <w:rsid w:val="00B91AE5"/>
    <w:rsid w:val="00B91D9F"/>
    <w:rsid w:val="00B9296D"/>
    <w:rsid w:val="00B93A10"/>
    <w:rsid w:val="00B93C7E"/>
    <w:rsid w:val="00B94671"/>
    <w:rsid w:val="00B94713"/>
    <w:rsid w:val="00B948AE"/>
    <w:rsid w:val="00B95481"/>
    <w:rsid w:val="00B95647"/>
    <w:rsid w:val="00B95C97"/>
    <w:rsid w:val="00B96289"/>
    <w:rsid w:val="00B966F5"/>
    <w:rsid w:val="00B97424"/>
    <w:rsid w:val="00B97717"/>
    <w:rsid w:val="00B97B5A"/>
    <w:rsid w:val="00B97BC6"/>
    <w:rsid w:val="00B97D4B"/>
    <w:rsid w:val="00BA01F8"/>
    <w:rsid w:val="00BA02A0"/>
    <w:rsid w:val="00BA109F"/>
    <w:rsid w:val="00BA1915"/>
    <w:rsid w:val="00BA1D13"/>
    <w:rsid w:val="00BA20CE"/>
    <w:rsid w:val="00BA31A7"/>
    <w:rsid w:val="00BA32E3"/>
    <w:rsid w:val="00BA3803"/>
    <w:rsid w:val="00BA3955"/>
    <w:rsid w:val="00BA4FCA"/>
    <w:rsid w:val="00BA514A"/>
    <w:rsid w:val="00BA568C"/>
    <w:rsid w:val="00BA56FE"/>
    <w:rsid w:val="00BA581C"/>
    <w:rsid w:val="00BA6099"/>
    <w:rsid w:val="00BA7649"/>
    <w:rsid w:val="00BA7BAD"/>
    <w:rsid w:val="00BA7D06"/>
    <w:rsid w:val="00BB0B12"/>
    <w:rsid w:val="00BB0D9F"/>
    <w:rsid w:val="00BB0F90"/>
    <w:rsid w:val="00BB17D7"/>
    <w:rsid w:val="00BB1CAE"/>
    <w:rsid w:val="00BB2260"/>
    <w:rsid w:val="00BB24BF"/>
    <w:rsid w:val="00BB2C30"/>
    <w:rsid w:val="00BB3330"/>
    <w:rsid w:val="00BB3783"/>
    <w:rsid w:val="00BB3D79"/>
    <w:rsid w:val="00BB3EA3"/>
    <w:rsid w:val="00BB4815"/>
    <w:rsid w:val="00BB4A40"/>
    <w:rsid w:val="00BB4F1E"/>
    <w:rsid w:val="00BB5C8D"/>
    <w:rsid w:val="00BB63C7"/>
    <w:rsid w:val="00BB63FF"/>
    <w:rsid w:val="00BB665B"/>
    <w:rsid w:val="00BB68BE"/>
    <w:rsid w:val="00BB6A2A"/>
    <w:rsid w:val="00BB6C5D"/>
    <w:rsid w:val="00BB7BFB"/>
    <w:rsid w:val="00BB7D2F"/>
    <w:rsid w:val="00BC0289"/>
    <w:rsid w:val="00BC1302"/>
    <w:rsid w:val="00BC149B"/>
    <w:rsid w:val="00BC1638"/>
    <w:rsid w:val="00BC16EB"/>
    <w:rsid w:val="00BC1EC7"/>
    <w:rsid w:val="00BC2069"/>
    <w:rsid w:val="00BC206D"/>
    <w:rsid w:val="00BC2B6A"/>
    <w:rsid w:val="00BC2E58"/>
    <w:rsid w:val="00BC3039"/>
    <w:rsid w:val="00BC4035"/>
    <w:rsid w:val="00BC49A1"/>
    <w:rsid w:val="00BC49F6"/>
    <w:rsid w:val="00BC530F"/>
    <w:rsid w:val="00BC6295"/>
    <w:rsid w:val="00BC649F"/>
    <w:rsid w:val="00BC67B2"/>
    <w:rsid w:val="00BC74C7"/>
    <w:rsid w:val="00BC7EB6"/>
    <w:rsid w:val="00BD04E2"/>
    <w:rsid w:val="00BD0BDE"/>
    <w:rsid w:val="00BD0CD1"/>
    <w:rsid w:val="00BD109E"/>
    <w:rsid w:val="00BD19E1"/>
    <w:rsid w:val="00BD21FC"/>
    <w:rsid w:val="00BD2655"/>
    <w:rsid w:val="00BD2857"/>
    <w:rsid w:val="00BD290E"/>
    <w:rsid w:val="00BD2EC3"/>
    <w:rsid w:val="00BD376A"/>
    <w:rsid w:val="00BD3CF9"/>
    <w:rsid w:val="00BD3E43"/>
    <w:rsid w:val="00BD3FF3"/>
    <w:rsid w:val="00BD4148"/>
    <w:rsid w:val="00BD42BE"/>
    <w:rsid w:val="00BD45FA"/>
    <w:rsid w:val="00BD464A"/>
    <w:rsid w:val="00BD49EE"/>
    <w:rsid w:val="00BD4A83"/>
    <w:rsid w:val="00BD567D"/>
    <w:rsid w:val="00BD638F"/>
    <w:rsid w:val="00BD6D8A"/>
    <w:rsid w:val="00BD7522"/>
    <w:rsid w:val="00BE027F"/>
    <w:rsid w:val="00BE04BC"/>
    <w:rsid w:val="00BE0851"/>
    <w:rsid w:val="00BE0AFD"/>
    <w:rsid w:val="00BE0CA2"/>
    <w:rsid w:val="00BE0DBE"/>
    <w:rsid w:val="00BE1231"/>
    <w:rsid w:val="00BE1310"/>
    <w:rsid w:val="00BE140A"/>
    <w:rsid w:val="00BE15B9"/>
    <w:rsid w:val="00BE1952"/>
    <w:rsid w:val="00BE1E9B"/>
    <w:rsid w:val="00BE205E"/>
    <w:rsid w:val="00BE2368"/>
    <w:rsid w:val="00BE2FA9"/>
    <w:rsid w:val="00BE32AE"/>
    <w:rsid w:val="00BE39A0"/>
    <w:rsid w:val="00BE45D2"/>
    <w:rsid w:val="00BE471F"/>
    <w:rsid w:val="00BE4F17"/>
    <w:rsid w:val="00BE529C"/>
    <w:rsid w:val="00BE568F"/>
    <w:rsid w:val="00BE57D4"/>
    <w:rsid w:val="00BE625A"/>
    <w:rsid w:val="00BE6E9F"/>
    <w:rsid w:val="00BF003A"/>
    <w:rsid w:val="00BF01DD"/>
    <w:rsid w:val="00BF05B6"/>
    <w:rsid w:val="00BF267F"/>
    <w:rsid w:val="00BF2B45"/>
    <w:rsid w:val="00BF3F05"/>
    <w:rsid w:val="00BF4293"/>
    <w:rsid w:val="00BF470D"/>
    <w:rsid w:val="00BF72E6"/>
    <w:rsid w:val="00BF73C6"/>
    <w:rsid w:val="00BF7B8F"/>
    <w:rsid w:val="00C00F2D"/>
    <w:rsid w:val="00C01071"/>
    <w:rsid w:val="00C013A6"/>
    <w:rsid w:val="00C01850"/>
    <w:rsid w:val="00C02044"/>
    <w:rsid w:val="00C023C9"/>
    <w:rsid w:val="00C02D94"/>
    <w:rsid w:val="00C031A8"/>
    <w:rsid w:val="00C03C62"/>
    <w:rsid w:val="00C043FD"/>
    <w:rsid w:val="00C04DBA"/>
    <w:rsid w:val="00C051FC"/>
    <w:rsid w:val="00C05679"/>
    <w:rsid w:val="00C05CB3"/>
    <w:rsid w:val="00C06166"/>
    <w:rsid w:val="00C065C4"/>
    <w:rsid w:val="00C066F0"/>
    <w:rsid w:val="00C06EEA"/>
    <w:rsid w:val="00C07388"/>
    <w:rsid w:val="00C07D44"/>
    <w:rsid w:val="00C1030E"/>
    <w:rsid w:val="00C10472"/>
    <w:rsid w:val="00C10B1B"/>
    <w:rsid w:val="00C11420"/>
    <w:rsid w:val="00C116AE"/>
    <w:rsid w:val="00C11A58"/>
    <w:rsid w:val="00C11B6C"/>
    <w:rsid w:val="00C1245E"/>
    <w:rsid w:val="00C12609"/>
    <w:rsid w:val="00C129A9"/>
    <w:rsid w:val="00C12B12"/>
    <w:rsid w:val="00C12C37"/>
    <w:rsid w:val="00C12D39"/>
    <w:rsid w:val="00C1357A"/>
    <w:rsid w:val="00C138ED"/>
    <w:rsid w:val="00C13D78"/>
    <w:rsid w:val="00C13D9F"/>
    <w:rsid w:val="00C145F7"/>
    <w:rsid w:val="00C147A7"/>
    <w:rsid w:val="00C14D4F"/>
    <w:rsid w:val="00C1545F"/>
    <w:rsid w:val="00C163E1"/>
    <w:rsid w:val="00C16BA8"/>
    <w:rsid w:val="00C16CD0"/>
    <w:rsid w:val="00C17DBA"/>
    <w:rsid w:val="00C20446"/>
    <w:rsid w:val="00C2049E"/>
    <w:rsid w:val="00C20A98"/>
    <w:rsid w:val="00C217BF"/>
    <w:rsid w:val="00C21BA0"/>
    <w:rsid w:val="00C228B0"/>
    <w:rsid w:val="00C23634"/>
    <w:rsid w:val="00C23B27"/>
    <w:rsid w:val="00C23CE3"/>
    <w:rsid w:val="00C23DA6"/>
    <w:rsid w:val="00C25F79"/>
    <w:rsid w:val="00C260B5"/>
    <w:rsid w:val="00C26189"/>
    <w:rsid w:val="00C263F2"/>
    <w:rsid w:val="00C26A0E"/>
    <w:rsid w:val="00C2723F"/>
    <w:rsid w:val="00C30026"/>
    <w:rsid w:val="00C30A31"/>
    <w:rsid w:val="00C31B14"/>
    <w:rsid w:val="00C32748"/>
    <w:rsid w:val="00C32E3C"/>
    <w:rsid w:val="00C3413D"/>
    <w:rsid w:val="00C3435F"/>
    <w:rsid w:val="00C346E1"/>
    <w:rsid w:val="00C3476B"/>
    <w:rsid w:val="00C34ABA"/>
    <w:rsid w:val="00C34D63"/>
    <w:rsid w:val="00C35FCD"/>
    <w:rsid w:val="00C36E8A"/>
    <w:rsid w:val="00C37562"/>
    <w:rsid w:val="00C37B2F"/>
    <w:rsid w:val="00C37E0E"/>
    <w:rsid w:val="00C4010F"/>
    <w:rsid w:val="00C403B3"/>
    <w:rsid w:val="00C40A10"/>
    <w:rsid w:val="00C411BD"/>
    <w:rsid w:val="00C41EF0"/>
    <w:rsid w:val="00C4263E"/>
    <w:rsid w:val="00C42846"/>
    <w:rsid w:val="00C428F5"/>
    <w:rsid w:val="00C42C08"/>
    <w:rsid w:val="00C43649"/>
    <w:rsid w:val="00C44731"/>
    <w:rsid w:val="00C44975"/>
    <w:rsid w:val="00C44B07"/>
    <w:rsid w:val="00C46720"/>
    <w:rsid w:val="00C4683A"/>
    <w:rsid w:val="00C46D36"/>
    <w:rsid w:val="00C50B5B"/>
    <w:rsid w:val="00C50DED"/>
    <w:rsid w:val="00C510FF"/>
    <w:rsid w:val="00C5143D"/>
    <w:rsid w:val="00C51A4A"/>
    <w:rsid w:val="00C51BD1"/>
    <w:rsid w:val="00C51C36"/>
    <w:rsid w:val="00C5244D"/>
    <w:rsid w:val="00C52767"/>
    <w:rsid w:val="00C528D7"/>
    <w:rsid w:val="00C52F13"/>
    <w:rsid w:val="00C548F9"/>
    <w:rsid w:val="00C54B9D"/>
    <w:rsid w:val="00C55F4D"/>
    <w:rsid w:val="00C561F6"/>
    <w:rsid w:val="00C56B0F"/>
    <w:rsid w:val="00C56FAC"/>
    <w:rsid w:val="00C570B8"/>
    <w:rsid w:val="00C575E5"/>
    <w:rsid w:val="00C57D2C"/>
    <w:rsid w:val="00C606F4"/>
    <w:rsid w:val="00C60B91"/>
    <w:rsid w:val="00C60F2E"/>
    <w:rsid w:val="00C61137"/>
    <w:rsid w:val="00C61745"/>
    <w:rsid w:val="00C618B5"/>
    <w:rsid w:val="00C61D57"/>
    <w:rsid w:val="00C62277"/>
    <w:rsid w:val="00C6306D"/>
    <w:rsid w:val="00C63101"/>
    <w:rsid w:val="00C639A7"/>
    <w:rsid w:val="00C6458F"/>
    <w:rsid w:val="00C64E42"/>
    <w:rsid w:val="00C64F5F"/>
    <w:rsid w:val="00C65493"/>
    <w:rsid w:val="00C657ED"/>
    <w:rsid w:val="00C65CAC"/>
    <w:rsid w:val="00C6607D"/>
    <w:rsid w:val="00C6632D"/>
    <w:rsid w:val="00C66D07"/>
    <w:rsid w:val="00C70528"/>
    <w:rsid w:val="00C7073A"/>
    <w:rsid w:val="00C70D57"/>
    <w:rsid w:val="00C7165A"/>
    <w:rsid w:val="00C717D6"/>
    <w:rsid w:val="00C71F6D"/>
    <w:rsid w:val="00C7211B"/>
    <w:rsid w:val="00C72449"/>
    <w:rsid w:val="00C72BC0"/>
    <w:rsid w:val="00C730DA"/>
    <w:rsid w:val="00C7314F"/>
    <w:rsid w:val="00C734E5"/>
    <w:rsid w:val="00C7391D"/>
    <w:rsid w:val="00C73E80"/>
    <w:rsid w:val="00C74018"/>
    <w:rsid w:val="00C74CE6"/>
    <w:rsid w:val="00C7657D"/>
    <w:rsid w:val="00C773BE"/>
    <w:rsid w:val="00C77C1F"/>
    <w:rsid w:val="00C8051A"/>
    <w:rsid w:val="00C80520"/>
    <w:rsid w:val="00C80882"/>
    <w:rsid w:val="00C80A00"/>
    <w:rsid w:val="00C817A8"/>
    <w:rsid w:val="00C82065"/>
    <w:rsid w:val="00C8267F"/>
    <w:rsid w:val="00C8278F"/>
    <w:rsid w:val="00C82A44"/>
    <w:rsid w:val="00C82B54"/>
    <w:rsid w:val="00C83877"/>
    <w:rsid w:val="00C83B5E"/>
    <w:rsid w:val="00C83D08"/>
    <w:rsid w:val="00C8418C"/>
    <w:rsid w:val="00C84D23"/>
    <w:rsid w:val="00C84E4C"/>
    <w:rsid w:val="00C8531D"/>
    <w:rsid w:val="00C853FA"/>
    <w:rsid w:val="00C86291"/>
    <w:rsid w:val="00C90157"/>
    <w:rsid w:val="00C9246A"/>
    <w:rsid w:val="00C92D67"/>
    <w:rsid w:val="00C93038"/>
    <w:rsid w:val="00C93505"/>
    <w:rsid w:val="00C94016"/>
    <w:rsid w:val="00C94BC7"/>
    <w:rsid w:val="00C94CBD"/>
    <w:rsid w:val="00C95363"/>
    <w:rsid w:val="00C956A4"/>
    <w:rsid w:val="00C95A9F"/>
    <w:rsid w:val="00C95E2C"/>
    <w:rsid w:val="00C96605"/>
    <w:rsid w:val="00C96CF1"/>
    <w:rsid w:val="00C97676"/>
    <w:rsid w:val="00CA12A1"/>
    <w:rsid w:val="00CA2745"/>
    <w:rsid w:val="00CA2A8E"/>
    <w:rsid w:val="00CA2C8B"/>
    <w:rsid w:val="00CA2F72"/>
    <w:rsid w:val="00CA332D"/>
    <w:rsid w:val="00CA3849"/>
    <w:rsid w:val="00CA3A58"/>
    <w:rsid w:val="00CA4038"/>
    <w:rsid w:val="00CA4C4D"/>
    <w:rsid w:val="00CA5290"/>
    <w:rsid w:val="00CA52B0"/>
    <w:rsid w:val="00CA560D"/>
    <w:rsid w:val="00CA56BA"/>
    <w:rsid w:val="00CA5DC4"/>
    <w:rsid w:val="00CA5ED7"/>
    <w:rsid w:val="00CA602C"/>
    <w:rsid w:val="00CA6322"/>
    <w:rsid w:val="00CA6759"/>
    <w:rsid w:val="00CA7E6F"/>
    <w:rsid w:val="00CB182A"/>
    <w:rsid w:val="00CB1961"/>
    <w:rsid w:val="00CB1DF3"/>
    <w:rsid w:val="00CB2C61"/>
    <w:rsid w:val="00CB3D13"/>
    <w:rsid w:val="00CB4048"/>
    <w:rsid w:val="00CB41B3"/>
    <w:rsid w:val="00CB469C"/>
    <w:rsid w:val="00CB4A4D"/>
    <w:rsid w:val="00CB51E0"/>
    <w:rsid w:val="00CB52F3"/>
    <w:rsid w:val="00CB5365"/>
    <w:rsid w:val="00CB56BA"/>
    <w:rsid w:val="00CB57C4"/>
    <w:rsid w:val="00CB5DAD"/>
    <w:rsid w:val="00CB6442"/>
    <w:rsid w:val="00CB66AE"/>
    <w:rsid w:val="00CB671A"/>
    <w:rsid w:val="00CB7739"/>
    <w:rsid w:val="00CB7789"/>
    <w:rsid w:val="00CB7E61"/>
    <w:rsid w:val="00CB7F28"/>
    <w:rsid w:val="00CC0BCC"/>
    <w:rsid w:val="00CC1218"/>
    <w:rsid w:val="00CC1422"/>
    <w:rsid w:val="00CC1654"/>
    <w:rsid w:val="00CC20E9"/>
    <w:rsid w:val="00CC37DC"/>
    <w:rsid w:val="00CC3C4B"/>
    <w:rsid w:val="00CC3D7C"/>
    <w:rsid w:val="00CC3E39"/>
    <w:rsid w:val="00CC4004"/>
    <w:rsid w:val="00CC4918"/>
    <w:rsid w:val="00CC4945"/>
    <w:rsid w:val="00CC4F4B"/>
    <w:rsid w:val="00CC538A"/>
    <w:rsid w:val="00CC54EE"/>
    <w:rsid w:val="00CC5A82"/>
    <w:rsid w:val="00CC5F81"/>
    <w:rsid w:val="00CC7728"/>
    <w:rsid w:val="00CC79CF"/>
    <w:rsid w:val="00CD003F"/>
    <w:rsid w:val="00CD038D"/>
    <w:rsid w:val="00CD0618"/>
    <w:rsid w:val="00CD0BA1"/>
    <w:rsid w:val="00CD0FBB"/>
    <w:rsid w:val="00CD15CF"/>
    <w:rsid w:val="00CD200B"/>
    <w:rsid w:val="00CD27A9"/>
    <w:rsid w:val="00CD2A28"/>
    <w:rsid w:val="00CD2A48"/>
    <w:rsid w:val="00CD32AD"/>
    <w:rsid w:val="00CD35C1"/>
    <w:rsid w:val="00CD36ED"/>
    <w:rsid w:val="00CD3794"/>
    <w:rsid w:val="00CD4321"/>
    <w:rsid w:val="00CD4821"/>
    <w:rsid w:val="00CD4885"/>
    <w:rsid w:val="00CD4F13"/>
    <w:rsid w:val="00CD5A4A"/>
    <w:rsid w:val="00CD5CA4"/>
    <w:rsid w:val="00CD5EDE"/>
    <w:rsid w:val="00CD7072"/>
    <w:rsid w:val="00CD7BB1"/>
    <w:rsid w:val="00CD7D4D"/>
    <w:rsid w:val="00CD7FE5"/>
    <w:rsid w:val="00CE0012"/>
    <w:rsid w:val="00CE0434"/>
    <w:rsid w:val="00CE17E0"/>
    <w:rsid w:val="00CE1917"/>
    <w:rsid w:val="00CE2825"/>
    <w:rsid w:val="00CE2E7F"/>
    <w:rsid w:val="00CE2F73"/>
    <w:rsid w:val="00CE33F6"/>
    <w:rsid w:val="00CE3415"/>
    <w:rsid w:val="00CE3C72"/>
    <w:rsid w:val="00CE4511"/>
    <w:rsid w:val="00CE4A91"/>
    <w:rsid w:val="00CE6421"/>
    <w:rsid w:val="00CE67E8"/>
    <w:rsid w:val="00CE734B"/>
    <w:rsid w:val="00CE734E"/>
    <w:rsid w:val="00CE7564"/>
    <w:rsid w:val="00CE7D18"/>
    <w:rsid w:val="00CE7E4A"/>
    <w:rsid w:val="00CE7E5F"/>
    <w:rsid w:val="00CE7ECF"/>
    <w:rsid w:val="00CF0F80"/>
    <w:rsid w:val="00CF145E"/>
    <w:rsid w:val="00CF290A"/>
    <w:rsid w:val="00CF2CC0"/>
    <w:rsid w:val="00CF2FEF"/>
    <w:rsid w:val="00CF36E1"/>
    <w:rsid w:val="00CF4107"/>
    <w:rsid w:val="00CF4123"/>
    <w:rsid w:val="00CF450C"/>
    <w:rsid w:val="00CF4C70"/>
    <w:rsid w:val="00CF5DB0"/>
    <w:rsid w:val="00CF68C7"/>
    <w:rsid w:val="00CF6918"/>
    <w:rsid w:val="00CF6AD5"/>
    <w:rsid w:val="00CF7F94"/>
    <w:rsid w:val="00D0031D"/>
    <w:rsid w:val="00D008A2"/>
    <w:rsid w:val="00D00E53"/>
    <w:rsid w:val="00D015EF"/>
    <w:rsid w:val="00D018EC"/>
    <w:rsid w:val="00D02A80"/>
    <w:rsid w:val="00D02D5A"/>
    <w:rsid w:val="00D0301B"/>
    <w:rsid w:val="00D03688"/>
    <w:rsid w:val="00D03BE8"/>
    <w:rsid w:val="00D03E68"/>
    <w:rsid w:val="00D03E81"/>
    <w:rsid w:val="00D0424B"/>
    <w:rsid w:val="00D04653"/>
    <w:rsid w:val="00D04833"/>
    <w:rsid w:val="00D0507E"/>
    <w:rsid w:val="00D05879"/>
    <w:rsid w:val="00D06475"/>
    <w:rsid w:val="00D06FE3"/>
    <w:rsid w:val="00D1001B"/>
    <w:rsid w:val="00D10543"/>
    <w:rsid w:val="00D117EB"/>
    <w:rsid w:val="00D124E9"/>
    <w:rsid w:val="00D12787"/>
    <w:rsid w:val="00D12BD1"/>
    <w:rsid w:val="00D12DEF"/>
    <w:rsid w:val="00D13018"/>
    <w:rsid w:val="00D13446"/>
    <w:rsid w:val="00D1394B"/>
    <w:rsid w:val="00D13E70"/>
    <w:rsid w:val="00D14B97"/>
    <w:rsid w:val="00D14E0E"/>
    <w:rsid w:val="00D14E5A"/>
    <w:rsid w:val="00D1538F"/>
    <w:rsid w:val="00D15F70"/>
    <w:rsid w:val="00D168E8"/>
    <w:rsid w:val="00D17D26"/>
    <w:rsid w:val="00D17FE2"/>
    <w:rsid w:val="00D20022"/>
    <w:rsid w:val="00D203D5"/>
    <w:rsid w:val="00D20B48"/>
    <w:rsid w:val="00D20B7B"/>
    <w:rsid w:val="00D21973"/>
    <w:rsid w:val="00D226DA"/>
    <w:rsid w:val="00D22905"/>
    <w:rsid w:val="00D22C1B"/>
    <w:rsid w:val="00D23611"/>
    <w:rsid w:val="00D23B27"/>
    <w:rsid w:val="00D25145"/>
    <w:rsid w:val="00D25344"/>
    <w:rsid w:val="00D25D29"/>
    <w:rsid w:val="00D2604E"/>
    <w:rsid w:val="00D26499"/>
    <w:rsid w:val="00D272DD"/>
    <w:rsid w:val="00D2730A"/>
    <w:rsid w:val="00D27BEB"/>
    <w:rsid w:val="00D27EC6"/>
    <w:rsid w:val="00D3004F"/>
    <w:rsid w:val="00D3048B"/>
    <w:rsid w:val="00D305C1"/>
    <w:rsid w:val="00D3083E"/>
    <w:rsid w:val="00D31442"/>
    <w:rsid w:val="00D3160C"/>
    <w:rsid w:val="00D31861"/>
    <w:rsid w:val="00D318ED"/>
    <w:rsid w:val="00D31A96"/>
    <w:rsid w:val="00D320C4"/>
    <w:rsid w:val="00D323F4"/>
    <w:rsid w:val="00D33BB0"/>
    <w:rsid w:val="00D345E9"/>
    <w:rsid w:val="00D34C17"/>
    <w:rsid w:val="00D34DAF"/>
    <w:rsid w:val="00D3626C"/>
    <w:rsid w:val="00D363C7"/>
    <w:rsid w:val="00D36E50"/>
    <w:rsid w:val="00D37FAA"/>
    <w:rsid w:val="00D4017B"/>
    <w:rsid w:val="00D40439"/>
    <w:rsid w:val="00D41489"/>
    <w:rsid w:val="00D4194E"/>
    <w:rsid w:val="00D41BF4"/>
    <w:rsid w:val="00D42099"/>
    <w:rsid w:val="00D420A0"/>
    <w:rsid w:val="00D42617"/>
    <w:rsid w:val="00D4287A"/>
    <w:rsid w:val="00D431F6"/>
    <w:rsid w:val="00D4455D"/>
    <w:rsid w:val="00D44AA5"/>
    <w:rsid w:val="00D45125"/>
    <w:rsid w:val="00D45819"/>
    <w:rsid w:val="00D45C96"/>
    <w:rsid w:val="00D461BF"/>
    <w:rsid w:val="00D4648C"/>
    <w:rsid w:val="00D46B74"/>
    <w:rsid w:val="00D500AD"/>
    <w:rsid w:val="00D514C6"/>
    <w:rsid w:val="00D51D79"/>
    <w:rsid w:val="00D51FBD"/>
    <w:rsid w:val="00D52876"/>
    <w:rsid w:val="00D52CD2"/>
    <w:rsid w:val="00D547F0"/>
    <w:rsid w:val="00D54F15"/>
    <w:rsid w:val="00D568C4"/>
    <w:rsid w:val="00D56A6C"/>
    <w:rsid w:val="00D5715A"/>
    <w:rsid w:val="00D57730"/>
    <w:rsid w:val="00D57BBF"/>
    <w:rsid w:val="00D6017E"/>
    <w:rsid w:val="00D604D9"/>
    <w:rsid w:val="00D60A32"/>
    <w:rsid w:val="00D613A1"/>
    <w:rsid w:val="00D61F73"/>
    <w:rsid w:val="00D6204C"/>
    <w:rsid w:val="00D6226B"/>
    <w:rsid w:val="00D622A8"/>
    <w:rsid w:val="00D62502"/>
    <w:rsid w:val="00D6439D"/>
    <w:rsid w:val="00D64AC8"/>
    <w:rsid w:val="00D65F40"/>
    <w:rsid w:val="00D65F7A"/>
    <w:rsid w:val="00D66818"/>
    <w:rsid w:val="00D66844"/>
    <w:rsid w:val="00D66B56"/>
    <w:rsid w:val="00D66D82"/>
    <w:rsid w:val="00D67F8A"/>
    <w:rsid w:val="00D70378"/>
    <w:rsid w:val="00D70CDC"/>
    <w:rsid w:val="00D725FF"/>
    <w:rsid w:val="00D72628"/>
    <w:rsid w:val="00D729BF"/>
    <w:rsid w:val="00D72FCE"/>
    <w:rsid w:val="00D7367E"/>
    <w:rsid w:val="00D73FF2"/>
    <w:rsid w:val="00D746B3"/>
    <w:rsid w:val="00D747DB"/>
    <w:rsid w:val="00D74FD9"/>
    <w:rsid w:val="00D75606"/>
    <w:rsid w:val="00D76092"/>
    <w:rsid w:val="00D760D6"/>
    <w:rsid w:val="00D772BC"/>
    <w:rsid w:val="00D776C1"/>
    <w:rsid w:val="00D7792D"/>
    <w:rsid w:val="00D77EC5"/>
    <w:rsid w:val="00D801A9"/>
    <w:rsid w:val="00D80353"/>
    <w:rsid w:val="00D80635"/>
    <w:rsid w:val="00D808E3"/>
    <w:rsid w:val="00D80CE6"/>
    <w:rsid w:val="00D825F6"/>
    <w:rsid w:val="00D82C58"/>
    <w:rsid w:val="00D82E11"/>
    <w:rsid w:val="00D83174"/>
    <w:rsid w:val="00D83591"/>
    <w:rsid w:val="00D84419"/>
    <w:rsid w:val="00D84B04"/>
    <w:rsid w:val="00D84FA1"/>
    <w:rsid w:val="00D84FD1"/>
    <w:rsid w:val="00D85AB6"/>
    <w:rsid w:val="00D865C1"/>
    <w:rsid w:val="00D8707D"/>
    <w:rsid w:val="00D870BF"/>
    <w:rsid w:val="00D874A1"/>
    <w:rsid w:val="00D87631"/>
    <w:rsid w:val="00D87670"/>
    <w:rsid w:val="00D90559"/>
    <w:rsid w:val="00D91ADF"/>
    <w:rsid w:val="00D91C14"/>
    <w:rsid w:val="00D91D91"/>
    <w:rsid w:val="00D928CD"/>
    <w:rsid w:val="00D93406"/>
    <w:rsid w:val="00D94D68"/>
    <w:rsid w:val="00D9523F"/>
    <w:rsid w:val="00D954E4"/>
    <w:rsid w:val="00D955E4"/>
    <w:rsid w:val="00D956A4"/>
    <w:rsid w:val="00D95730"/>
    <w:rsid w:val="00D959B1"/>
    <w:rsid w:val="00D95F67"/>
    <w:rsid w:val="00D96334"/>
    <w:rsid w:val="00D97471"/>
    <w:rsid w:val="00D97F8C"/>
    <w:rsid w:val="00DA0828"/>
    <w:rsid w:val="00DA0CC2"/>
    <w:rsid w:val="00DA0ED4"/>
    <w:rsid w:val="00DA13E8"/>
    <w:rsid w:val="00DA1466"/>
    <w:rsid w:val="00DA1A6C"/>
    <w:rsid w:val="00DA1FB1"/>
    <w:rsid w:val="00DA2590"/>
    <w:rsid w:val="00DA2EC6"/>
    <w:rsid w:val="00DA318E"/>
    <w:rsid w:val="00DA467E"/>
    <w:rsid w:val="00DA4E57"/>
    <w:rsid w:val="00DA59A7"/>
    <w:rsid w:val="00DA5B15"/>
    <w:rsid w:val="00DA5C98"/>
    <w:rsid w:val="00DA5D96"/>
    <w:rsid w:val="00DA7196"/>
    <w:rsid w:val="00DB0526"/>
    <w:rsid w:val="00DB056A"/>
    <w:rsid w:val="00DB21E9"/>
    <w:rsid w:val="00DB23CD"/>
    <w:rsid w:val="00DB2C80"/>
    <w:rsid w:val="00DB3698"/>
    <w:rsid w:val="00DB3940"/>
    <w:rsid w:val="00DB401E"/>
    <w:rsid w:val="00DB5D76"/>
    <w:rsid w:val="00DB6006"/>
    <w:rsid w:val="00DB6408"/>
    <w:rsid w:val="00DB6426"/>
    <w:rsid w:val="00DB768E"/>
    <w:rsid w:val="00DB7D10"/>
    <w:rsid w:val="00DC04B1"/>
    <w:rsid w:val="00DC070E"/>
    <w:rsid w:val="00DC0EF2"/>
    <w:rsid w:val="00DC13C4"/>
    <w:rsid w:val="00DC140F"/>
    <w:rsid w:val="00DC18D1"/>
    <w:rsid w:val="00DC1922"/>
    <w:rsid w:val="00DC1F4D"/>
    <w:rsid w:val="00DC2008"/>
    <w:rsid w:val="00DC24DD"/>
    <w:rsid w:val="00DC369F"/>
    <w:rsid w:val="00DC40CC"/>
    <w:rsid w:val="00DC41B6"/>
    <w:rsid w:val="00DC4207"/>
    <w:rsid w:val="00DC54CD"/>
    <w:rsid w:val="00DC593F"/>
    <w:rsid w:val="00DC5B93"/>
    <w:rsid w:val="00DC5E6F"/>
    <w:rsid w:val="00DC6525"/>
    <w:rsid w:val="00DC67F3"/>
    <w:rsid w:val="00DC689E"/>
    <w:rsid w:val="00DC6F72"/>
    <w:rsid w:val="00DC7DAA"/>
    <w:rsid w:val="00DD0260"/>
    <w:rsid w:val="00DD0622"/>
    <w:rsid w:val="00DD08AE"/>
    <w:rsid w:val="00DD0A2C"/>
    <w:rsid w:val="00DD0A36"/>
    <w:rsid w:val="00DD0C31"/>
    <w:rsid w:val="00DD19CB"/>
    <w:rsid w:val="00DD1CAE"/>
    <w:rsid w:val="00DD267E"/>
    <w:rsid w:val="00DD3831"/>
    <w:rsid w:val="00DD3FF7"/>
    <w:rsid w:val="00DD412F"/>
    <w:rsid w:val="00DD4204"/>
    <w:rsid w:val="00DD4224"/>
    <w:rsid w:val="00DD4914"/>
    <w:rsid w:val="00DD495D"/>
    <w:rsid w:val="00DD55F5"/>
    <w:rsid w:val="00DD5C46"/>
    <w:rsid w:val="00DD68A0"/>
    <w:rsid w:val="00DD7577"/>
    <w:rsid w:val="00DE048E"/>
    <w:rsid w:val="00DE07F4"/>
    <w:rsid w:val="00DE0BBF"/>
    <w:rsid w:val="00DE167A"/>
    <w:rsid w:val="00DE1D51"/>
    <w:rsid w:val="00DE23E2"/>
    <w:rsid w:val="00DE2556"/>
    <w:rsid w:val="00DE2C47"/>
    <w:rsid w:val="00DE3809"/>
    <w:rsid w:val="00DE3C51"/>
    <w:rsid w:val="00DE413F"/>
    <w:rsid w:val="00DE4B94"/>
    <w:rsid w:val="00DE6E55"/>
    <w:rsid w:val="00DE706B"/>
    <w:rsid w:val="00DE7169"/>
    <w:rsid w:val="00DE793F"/>
    <w:rsid w:val="00DE7D20"/>
    <w:rsid w:val="00DF0496"/>
    <w:rsid w:val="00DF1150"/>
    <w:rsid w:val="00DF1BE7"/>
    <w:rsid w:val="00DF1C35"/>
    <w:rsid w:val="00DF292C"/>
    <w:rsid w:val="00DF2B99"/>
    <w:rsid w:val="00DF3230"/>
    <w:rsid w:val="00DF40DE"/>
    <w:rsid w:val="00DF4233"/>
    <w:rsid w:val="00DF4A8C"/>
    <w:rsid w:val="00DF51F8"/>
    <w:rsid w:val="00DF59CE"/>
    <w:rsid w:val="00DF659D"/>
    <w:rsid w:val="00DF6ABC"/>
    <w:rsid w:val="00DF7B10"/>
    <w:rsid w:val="00E004D2"/>
    <w:rsid w:val="00E00A38"/>
    <w:rsid w:val="00E00A55"/>
    <w:rsid w:val="00E00EF8"/>
    <w:rsid w:val="00E01221"/>
    <w:rsid w:val="00E017A2"/>
    <w:rsid w:val="00E01FBF"/>
    <w:rsid w:val="00E02116"/>
    <w:rsid w:val="00E02CD4"/>
    <w:rsid w:val="00E0393E"/>
    <w:rsid w:val="00E03C11"/>
    <w:rsid w:val="00E043E9"/>
    <w:rsid w:val="00E06259"/>
    <w:rsid w:val="00E065E3"/>
    <w:rsid w:val="00E06E2C"/>
    <w:rsid w:val="00E071E8"/>
    <w:rsid w:val="00E07441"/>
    <w:rsid w:val="00E07A4D"/>
    <w:rsid w:val="00E07EC4"/>
    <w:rsid w:val="00E10507"/>
    <w:rsid w:val="00E10CE4"/>
    <w:rsid w:val="00E11B84"/>
    <w:rsid w:val="00E11E5F"/>
    <w:rsid w:val="00E11F1A"/>
    <w:rsid w:val="00E12BE1"/>
    <w:rsid w:val="00E12E44"/>
    <w:rsid w:val="00E12E91"/>
    <w:rsid w:val="00E12ECF"/>
    <w:rsid w:val="00E13197"/>
    <w:rsid w:val="00E13C63"/>
    <w:rsid w:val="00E14A4E"/>
    <w:rsid w:val="00E15014"/>
    <w:rsid w:val="00E15353"/>
    <w:rsid w:val="00E15899"/>
    <w:rsid w:val="00E15C06"/>
    <w:rsid w:val="00E15C09"/>
    <w:rsid w:val="00E16555"/>
    <w:rsid w:val="00E16B2B"/>
    <w:rsid w:val="00E16D60"/>
    <w:rsid w:val="00E173A9"/>
    <w:rsid w:val="00E17788"/>
    <w:rsid w:val="00E20350"/>
    <w:rsid w:val="00E2126D"/>
    <w:rsid w:val="00E212D3"/>
    <w:rsid w:val="00E21338"/>
    <w:rsid w:val="00E218EC"/>
    <w:rsid w:val="00E2301D"/>
    <w:rsid w:val="00E234C6"/>
    <w:rsid w:val="00E23AF1"/>
    <w:rsid w:val="00E2522A"/>
    <w:rsid w:val="00E25AB1"/>
    <w:rsid w:val="00E25B89"/>
    <w:rsid w:val="00E27390"/>
    <w:rsid w:val="00E27BCC"/>
    <w:rsid w:val="00E27C2B"/>
    <w:rsid w:val="00E302D2"/>
    <w:rsid w:val="00E30436"/>
    <w:rsid w:val="00E30C9D"/>
    <w:rsid w:val="00E30E3C"/>
    <w:rsid w:val="00E30F60"/>
    <w:rsid w:val="00E31131"/>
    <w:rsid w:val="00E31585"/>
    <w:rsid w:val="00E3186F"/>
    <w:rsid w:val="00E31AE1"/>
    <w:rsid w:val="00E32BEA"/>
    <w:rsid w:val="00E32EEB"/>
    <w:rsid w:val="00E330C5"/>
    <w:rsid w:val="00E332AC"/>
    <w:rsid w:val="00E33344"/>
    <w:rsid w:val="00E37560"/>
    <w:rsid w:val="00E37B7E"/>
    <w:rsid w:val="00E37D2E"/>
    <w:rsid w:val="00E37D3B"/>
    <w:rsid w:val="00E37FF3"/>
    <w:rsid w:val="00E404A4"/>
    <w:rsid w:val="00E40E77"/>
    <w:rsid w:val="00E41C6A"/>
    <w:rsid w:val="00E41DC2"/>
    <w:rsid w:val="00E42567"/>
    <w:rsid w:val="00E42843"/>
    <w:rsid w:val="00E42AD0"/>
    <w:rsid w:val="00E42C9B"/>
    <w:rsid w:val="00E42FB3"/>
    <w:rsid w:val="00E4359E"/>
    <w:rsid w:val="00E43A7B"/>
    <w:rsid w:val="00E44230"/>
    <w:rsid w:val="00E4442D"/>
    <w:rsid w:val="00E45596"/>
    <w:rsid w:val="00E455AB"/>
    <w:rsid w:val="00E45605"/>
    <w:rsid w:val="00E45F23"/>
    <w:rsid w:val="00E4655F"/>
    <w:rsid w:val="00E46970"/>
    <w:rsid w:val="00E46F6A"/>
    <w:rsid w:val="00E4732C"/>
    <w:rsid w:val="00E47891"/>
    <w:rsid w:val="00E50B4F"/>
    <w:rsid w:val="00E50C58"/>
    <w:rsid w:val="00E5242F"/>
    <w:rsid w:val="00E52563"/>
    <w:rsid w:val="00E52660"/>
    <w:rsid w:val="00E53217"/>
    <w:rsid w:val="00E5348F"/>
    <w:rsid w:val="00E53819"/>
    <w:rsid w:val="00E53AA2"/>
    <w:rsid w:val="00E53FB7"/>
    <w:rsid w:val="00E54441"/>
    <w:rsid w:val="00E5463B"/>
    <w:rsid w:val="00E54B91"/>
    <w:rsid w:val="00E54D23"/>
    <w:rsid w:val="00E552CB"/>
    <w:rsid w:val="00E559AA"/>
    <w:rsid w:val="00E56522"/>
    <w:rsid w:val="00E56B56"/>
    <w:rsid w:val="00E5755D"/>
    <w:rsid w:val="00E577D3"/>
    <w:rsid w:val="00E57AB6"/>
    <w:rsid w:val="00E57C59"/>
    <w:rsid w:val="00E60122"/>
    <w:rsid w:val="00E6018F"/>
    <w:rsid w:val="00E61388"/>
    <w:rsid w:val="00E61849"/>
    <w:rsid w:val="00E61BE0"/>
    <w:rsid w:val="00E61C39"/>
    <w:rsid w:val="00E62041"/>
    <w:rsid w:val="00E62B2A"/>
    <w:rsid w:val="00E62D5C"/>
    <w:rsid w:val="00E63D00"/>
    <w:rsid w:val="00E64285"/>
    <w:rsid w:val="00E650C8"/>
    <w:rsid w:val="00E6683D"/>
    <w:rsid w:val="00E67039"/>
    <w:rsid w:val="00E675D7"/>
    <w:rsid w:val="00E67B0F"/>
    <w:rsid w:val="00E70C95"/>
    <w:rsid w:val="00E713C1"/>
    <w:rsid w:val="00E7154B"/>
    <w:rsid w:val="00E71BB1"/>
    <w:rsid w:val="00E72159"/>
    <w:rsid w:val="00E727DB"/>
    <w:rsid w:val="00E72EA0"/>
    <w:rsid w:val="00E72EEC"/>
    <w:rsid w:val="00E73287"/>
    <w:rsid w:val="00E73415"/>
    <w:rsid w:val="00E73ED9"/>
    <w:rsid w:val="00E744CD"/>
    <w:rsid w:val="00E74A1C"/>
    <w:rsid w:val="00E74F85"/>
    <w:rsid w:val="00E75003"/>
    <w:rsid w:val="00E752C7"/>
    <w:rsid w:val="00E7551C"/>
    <w:rsid w:val="00E7646F"/>
    <w:rsid w:val="00E76C7F"/>
    <w:rsid w:val="00E76FD7"/>
    <w:rsid w:val="00E776BC"/>
    <w:rsid w:val="00E80A31"/>
    <w:rsid w:val="00E80B2B"/>
    <w:rsid w:val="00E81788"/>
    <w:rsid w:val="00E8184B"/>
    <w:rsid w:val="00E818D5"/>
    <w:rsid w:val="00E8223C"/>
    <w:rsid w:val="00E82596"/>
    <w:rsid w:val="00E82986"/>
    <w:rsid w:val="00E83918"/>
    <w:rsid w:val="00E839D8"/>
    <w:rsid w:val="00E83FCF"/>
    <w:rsid w:val="00E84C6C"/>
    <w:rsid w:val="00E84E36"/>
    <w:rsid w:val="00E84F92"/>
    <w:rsid w:val="00E8525F"/>
    <w:rsid w:val="00E852B5"/>
    <w:rsid w:val="00E854D3"/>
    <w:rsid w:val="00E875E0"/>
    <w:rsid w:val="00E87653"/>
    <w:rsid w:val="00E9037E"/>
    <w:rsid w:val="00E90CC4"/>
    <w:rsid w:val="00E90E07"/>
    <w:rsid w:val="00E91354"/>
    <w:rsid w:val="00E913D0"/>
    <w:rsid w:val="00E91786"/>
    <w:rsid w:val="00E919B3"/>
    <w:rsid w:val="00E92945"/>
    <w:rsid w:val="00E938E4"/>
    <w:rsid w:val="00E93B7B"/>
    <w:rsid w:val="00E943B4"/>
    <w:rsid w:val="00E947C5"/>
    <w:rsid w:val="00E95832"/>
    <w:rsid w:val="00E97D84"/>
    <w:rsid w:val="00EA0345"/>
    <w:rsid w:val="00EA058C"/>
    <w:rsid w:val="00EA0D90"/>
    <w:rsid w:val="00EA1103"/>
    <w:rsid w:val="00EA196F"/>
    <w:rsid w:val="00EA227E"/>
    <w:rsid w:val="00EA24EA"/>
    <w:rsid w:val="00EA28D5"/>
    <w:rsid w:val="00EA28E5"/>
    <w:rsid w:val="00EA2AFF"/>
    <w:rsid w:val="00EA2C50"/>
    <w:rsid w:val="00EA3287"/>
    <w:rsid w:val="00EA3A62"/>
    <w:rsid w:val="00EA3F1A"/>
    <w:rsid w:val="00EA50BF"/>
    <w:rsid w:val="00EA57CC"/>
    <w:rsid w:val="00EA58B0"/>
    <w:rsid w:val="00EA5B31"/>
    <w:rsid w:val="00EA5F43"/>
    <w:rsid w:val="00EA62F5"/>
    <w:rsid w:val="00EA67FB"/>
    <w:rsid w:val="00EA6864"/>
    <w:rsid w:val="00EA6D18"/>
    <w:rsid w:val="00EA734D"/>
    <w:rsid w:val="00EA7F4F"/>
    <w:rsid w:val="00EB0CC6"/>
    <w:rsid w:val="00EB1A86"/>
    <w:rsid w:val="00EB1AFC"/>
    <w:rsid w:val="00EB1F9F"/>
    <w:rsid w:val="00EB2218"/>
    <w:rsid w:val="00EB25C0"/>
    <w:rsid w:val="00EB2B2D"/>
    <w:rsid w:val="00EB2BE3"/>
    <w:rsid w:val="00EB39DA"/>
    <w:rsid w:val="00EB3DF1"/>
    <w:rsid w:val="00EB452A"/>
    <w:rsid w:val="00EB45DB"/>
    <w:rsid w:val="00EB4B56"/>
    <w:rsid w:val="00EB4E4F"/>
    <w:rsid w:val="00EB550D"/>
    <w:rsid w:val="00EB58C2"/>
    <w:rsid w:val="00EB5A2F"/>
    <w:rsid w:val="00EB5DBC"/>
    <w:rsid w:val="00EB6EB3"/>
    <w:rsid w:val="00EB7E68"/>
    <w:rsid w:val="00EC00DF"/>
    <w:rsid w:val="00EC077A"/>
    <w:rsid w:val="00EC09CC"/>
    <w:rsid w:val="00EC0E8B"/>
    <w:rsid w:val="00EC365E"/>
    <w:rsid w:val="00EC3744"/>
    <w:rsid w:val="00EC3839"/>
    <w:rsid w:val="00EC425A"/>
    <w:rsid w:val="00EC466E"/>
    <w:rsid w:val="00EC4758"/>
    <w:rsid w:val="00EC4BF1"/>
    <w:rsid w:val="00EC5AE0"/>
    <w:rsid w:val="00EC62B8"/>
    <w:rsid w:val="00EC6D7A"/>
    <w:rsid w:val="00EC789C"/>
    <w:rsid w:val="00EC7E39"/>
    <w:rsid w:val="00ED0219"/>
    <w:rsid w:val="00ED09CE"/>
    <w:rsid w:val="00ED18E7"/>
    <w:rsid w:val="00ED1AAF"/>
    <w:rsid w:val="00ED275A"/>
    <w:rsid w:val="00ED2DA6"/>
    <w:rsid w:val="00ED3941"/>
    <w:rsid w:val="00ED4CB6"/>
    <w:rsid w:val="00ED53C6"/>
    <w:rsid w:val="00ED5A81"/>
    <w:rsid w:val="00ED5E53"/>
    <w:rsid w:val="00ED6006"/>
    <w:rsid w:val="00ED6389"/>
    <w:rsid w:val="00ED6423"/>
    <w:rsid w:val="00ED7601"/>
    <w:rsid w:val="00ED76A6"/>
    <w:rsid w:val="00EE0A22"/>
    <w:rsid w:val="00EE0D23"/>
    <w:rsid w:val="00EE0F30"/>
    <w:rsid w:val="00EE164F"/>
    <w:rsid w:val="00EE1725"/>
    <w:rsid w:val="00EE1EA0"/>
    <w:rsid w:val="00EE234A"/>
    <w:rsid w:val="00EE2F62"/>
    <w:rsid w:val="00EE36B7"/>
    <w:rsid w:val="00EE3ECA"/>
    <w:rsid w:val="00EE49AE"/>
    <w:rsid w:val="00EE4D02"/>
    <w:rsid w:val="00EE4F3C"/>
    <w:rsid w:val="00EE57CB"/>
    <w:rsid w:val="00EE6FE2"/>
    <w:rsid w:val="00EE7625"/>
    <w:rsid w:val="00EE7AB1"/>
    <w:rsid w:val="00EF0B88"/>
    <w:rsid w:val="00EF0EED"/>
    <w:rsid w:val="00EF0F82"/>
    <w:rsid w:val="00EF1BA4"/>
    <w:rsid w:val="00EF236B"/>
    <w:rsid w:val="00EF23E5"/>
    <w:rsid w:val="00EF2CDE"/>
    <w:rsid w:val="00EF3237"/>
    <w:rsid w:val="00EF3743"/>
    <w:rsid w:val="00EF4139"/>
    <w:rsid w:val="00EF4220"/>
    <w:rsid w:val="00EF4A93"/>
    <w:rsid w:val="00EF5219"/>
    <w:rsid w:val="00EF6795"/>
    <w:rsid w:val="00EF7103"/>
    <w:rsid w:val="00EF7449"/>
    <w:rsid w:val="00EF7B2E"/>
    <w:rsid w:val="00EF7D4B"/>
    <w:rsid w:val="00F005CE"/>
    <w:rsid w:val="00F00733"/>
    <w:rsid w:val="00F00A77"/>
    <w:rsid w:val="00F00BBE"/>
    <w:rsid w:val="00F00BE2"/>
    <w:rsid w:val="00F00D87"/>
    <w:rsid w:val="00F01C50"/>
    <w:rsid w:val="00F0261B"/>
    <w:rsid w:val="00F02C60"/>
    <w:rsid w:val="00F02E68"/>
    <w:rsid w:val="00F0305B"/>
    <w:rsid w:val="00F0313C"/>
    <w:rsid w:val="00F0332D"/>
    <w:rsid w:val="00F03494"/>
    <w:rsid w:val="00F038CC"/>
    <w:rsid w:val="00F03919"/>
    <w:rsid w:val="00F040C4"/>
    <w:rsid w:val="00F0451B"/>
    <w:rsid w:val="00F04C12"/>
    <w:rsid w:val="00F05D2D"/>
    <w:rsid w:val="00F060C8"/>
    <w:rsid w:val="00F06126"/>
    <w:rsid w:val="00F06274"/>
    <w:rsid w:val="00F06EC3"/>
    <w:rsid w:val="00F0726E"/>
    <w:rsid w:val="00F07493"/>
    <w:rsid w:val="00F0796A"/>
    <w:rsid w:val="00F07E15"/>
    <w:rsid w:val="00F10727"/>
    <w:rsid w:val="00F10CFF"/>
    <w:rsid w:val="00F10F58"/>
    <w:rsid w:val="00F11BA7"/>
    <w:rsid w:val="00F11C29"/>
    <w:rsid w:val="00F1224A"/>
    <w:rsid w:val="00F13212"/>
    <w:rsid w:val="00F13322"/>
    <w:rsid w:val="00F13D88"/>
    <w:rsid w:val="00F140B3"/>
    <w:rsid w:val="00F146E6"/>
    <w:rsid w:val="00F148CF"/>
    <w:rsid w:val="00F14A46"/>
    <w:rsid w:val="00F15957"/>
    <w:rsid w:val="00F15989"/>
    <w:rsid w:val="00F16715"/>
    <w:rsid w:val="00F16CE3"/>
    <w:rsid w:val="00F17452"/>
    <w:rsid w:val="00F17552"/>
    <w:rsid w:val="00F17B80"/>
    <w:rsid w:val="00F17C82"/>
    <w:rsid w:val="00F17D07"/>
    <w:rsid w:val="00F17F58"/>
    <w:rsid w:val="00F2044F"/>
    <w:rsid w:val="00F217CB"/>
    <w:rsid w:val="00F21B27"/>
    <w:rsid w:val="00F21CC1"/>
    <w:rsid w:val="00F21EBD"/>
    <w:rsid w:val="00F226AB"/>
    <w:rsid w:val="00F22B10"/>
    <w:rsid w:val="00F22EED"/>
    <w:rsid w:val="00F22F10"/>
    <w:rsid w:val="00F23C64"/>
    <w:rsid w:val="00F23EEC"/>
    <w:rsid w:val="00F2419E"/>
    <w:rsid w:val="00F24E13"/>
    <w:rsid w:val="00F25B5E"/>
    <w:rsid w:val="00F263ED"/>
    <w:rsid w:val="00F2751F"/>
    <w:rsid w:val="00F2762F"/>
    <w:rsid w:val="00F3079F"/>
    <w:rsid w:val="00F312E6"/>
    <w:rsid w:val="00F3136D"/>
    <w:rsid w:val="00F31F68"/>
    <w:rsid w:val="00F32204"/>
    <w:rsid w:val="00F32330"/>
    <w:rsid w:val="00F3250F"/>
    <w:rsid w:val="00F32A76"/>
    <w:rsid w:val="00F3300B"/>
    <w:rsid w:val="00F331BF"/>
    <w:rsid w:val="00F332CE"/>
    <w:rsid w:val="00F334E9"/>
    <w:rsid w:val="00F336D6"/>
    <w:rsid w:val="00F34032"/>
    <w:rsid w:val="00F346AB"/>
    <w:rsid w:val="00F34825"/>
    <w:rsid w:val="00F34C37"/>
    <w:rsid w:val="00F34DFE"/>
    <w:rsid w:val="00F34FBB"/>
    <w:rsid w:val="00F354FE"/>
    <w:rsid w:val="00F35F09"/>
    <w:rsid w:val="00F36644"/>
    <w:rsid w:val="00F36908"/>
    <w:rsid w:val="00F36FE8"/>
    <w:rsid w:val="00F37AC5"/>
    <w:rsid w:val="00F37E45"/>
    <w:rsid w:val="00F405CF"/>
    <w:rsid w:val="00F40AFA"/>
    <w:rsid w:val="00F41443"/>
    <w:rsid w:val="00F4170A"/>
    <w:rsid w:val="00F41A9B"/>
    <w:rsid w:val="00F4228A"/>
    <w:rsid w:val="00F424FB"/>
    <w:rsid w:val="00F42AE1"/>
    <w:rsid w:val="00F42F4B"/>
    <w:rsid w:val="00F431A2"/>
    <w:rsid w:val="00F438D9"/>
    <w:rsid w:val="00F43A79"/>
    <w:rsid w:val="00F451F5"/>
    <w:rsid w:val="00F4521F"/>
    <w:rsid w:val="00F45392"/>
    <w:rsid w:val="00F45551"/>
    <w:rsid w:val="00F459CE"/>
    <w:rsid w:val="00F45BF0"/>
    <w:rsid w:val="00F461AD"/>
    <w:rsid w:val="00F4659C"/>
    <w:rsid w:val="00F46D05"/>
    <w:rsid w:val="00F46D15"/>
    <w:rsid w:val="00F471E4"/>
    <w:rsid w:val="00F47463"/>
    <w:rsid w:val="00F47537"/>
    <w:rsid w:val="00F479C1"/>
    <w:rsid w:val="00F500BE"/>
    <w:rsid w:val="00F50FD9"/>
    <w:rsid w:val="00F51157"/>
    <w:rsid w:val="00F51284"/>
    <w:rsid w:val="00F51A67"/>
    <w:rsid w:val="00F51C7B"/>
    <w:rsid w:val="00F52342"/>
    <w:rsid w:val="00F5239E"/>
    <w:rsid w:val="00F52526"/>
    <w:rsid w:val="00F525F7"/>
    <w:rsid w:val="00F52D08"/>
    <w:rsid w:val="00F531F3"/>
    <w:rsid w:val="00F5395D"/>
    <w:rsid w:val="00F53C14"/>
    <w:rsid w:val="00F53E0B"/>
    <w:rsid w:val="00F54073"/>
    <w:rsid w:val="00F540D2"/>
    <w:rsid w:val="00F546FF"/>
    <w:rsid w:val="00F54F2A"/>
    <w:rsid w:val="00F55144"/>
    <w:rsid w:val="00F55699"/>
    <w:rsid w:val="00F55712"/>
    <w:rsid w:val="00F55DDC"/>
    <w:rsid w:val="00F56944"/>
    <w:rsid w:val="00F574E3"/>
    <w:rsid w:val="00F57A3B"/>
    <w:rsid w:val="00F600FF"/>
    <w:rsid w:val="00F603C8"/>
    <w:rsid w:val="00F606AB"/>
    <w:rsid w:val="00F60B16"/>
    <w:rsid w:val="00F617BB"/>
    <w:rsid w:val="00F6199B"/>
    <w:rsid w:val="00F61B78"/>
    <w:rsid w:val="00F61E04"/>
    <w:rsid w:val="00F626C4"/>
    <w:rsid w:val="00F62BDB"/>
    <w:rsid w:val="00F62C7C"/>
    <w:rsid w:val="00F630A6"/>
    <w:rsid w:val="00F6317F"/>
    <w:rsid w:val="00F63D65"/>
    <w:rsid w:val="00F64E93"/>
    <w:rsid w:val="00F65427"/>
    <w:rsid w:val="00F660C3"/>
    <w:rsid w:val="00F661F1"/>
    <w:rsid w:val="00F6659C"/>
    <w:rsid w:val="00F66B39"/>
    <w:rsid w:val="00F67096"/>
    <w:rsid w:val="00F672EF"/>
    <w:rsid w:val="00F67E98"/>
    <w:rsid w:val="00F67F2A"/>
    <w:rsid w:val="00F700BF"/>
    <w:rsid w:val="00F70831"/>
    <w:rsid w:val="00F71E7F"/>
    <w:rsid w:val="00F71F06"/>
    <w:rsid w:val="00F7208B"/>
    <w:rsid w:val="00F7215C"/>
    <w:rsid w:val="00F72F81"/>
    <w:rsid w:val="00F73012"/>
    <w:rsid w:val="00F7345E"/>
    <w:rsid w:val="00F73C5C"/>
    <w:rsid w:val="00F74081"/>
    <w:rsid w:val="00F743F5"/>
    <w:rsid w:val="00F74D3F"/>
    <w:rsid w:val="00F757AD"/>
    <w:rsid w:val="00F757DA"/>
    <w:rsid w:val="00F760D6"/>
    <w:rsid w:val="00F76725"/>
    <w:rsid w:val="00F769A6"/>
    <w:rsid w:val="00F770A3"/>
    <w:rsid w:val="00F77495"/>
    <w:rsid w:val="00F80547"/>
    <w:rsid w:val="00F805D8"/>
    <w:rsid w:val="00F81321"/>
    <w:rsid w:val="00F81489"/>
    <w:rsid w:val="00F81803"/>
    <w:rsid w:val="00F82577"/>
    <w:rsid w:val="00F828FA"/>
    <w:rsid w:val="00F82F56"/>
    <w:rsid w:val="00F8357C"/>
    <w:rsid w:val="00F84070"/>
    <w:rsid w:val="00F84985"/>
    <w:rsid w:val="00F850CD"/>
    <w:rsid w:val="00F85312"/>
    <w:rsid w:val="00F85E5A"/>
    <w:rsid w:val="00F8608E"/>
    <w:rsid w:val="00F86342"/>
    <w:rsid w:val="00F86434"/>
    <w:rsid w:val="00F86B47"/>
    <w:rsid w:val="00F873E5"/>
    <w:rsid w:val="00F87974"/>
    <w:rsid w:val="00F87C29"/>
    <w:rsid w:val="00F90689"/>
    <w:rsid w:val="00F90A46"/>
    <w:rsid w:val="00F9179F"/>
    <w:rsid w:val="00F91F07"/>
    <w:rsid w:val="00F927B3"/>
    <w:rsid w:val="00F93018"/>
    <w:rsid w:val="00F93676"/>
    <w:rsid w:val="00F9474F"/>
    <w:rsid w:val="00F94935"/>
    <w:rsid w:val="00F9496D"/>
    <w:rsid w:val="00F94A35"/>
    <w:rsid w:val="00F95289"/>
    <w:rsid w:val="00F95808"/>
    <w:rsid w:val="00F958E4"/>
    <w:rsid w:val="00F962FC"/>
    <w:rsid w:val="00F9668A"/>
    <w:rsid w:val="00F9683E"/>
    <w:rsid w:val="00F9734B"/>
    <w:rsid w:val="00F97ABC"/>
    <w:rsid w:val="00FA060C"/>
    <w:rsid w:val="00FA0FA0"/>
    <w:rsid w:val="00FA1213"/>
    <w:rsid w:val="00FA16C2"/>
    <w:rsid w:val="00FA19A2"/>
    <w:rsid w:val="00FA24C3"/>
    <w:rsid w:val="00FA360E"/>
    <w:rsid w:val="00FA3F67"/>
    <w:rsid w:val="00FA4452"/>
    <w:rsid w:val="00FA45B4"/>
    <w:rsid w:val="00FA5A8A"/>
    <w:rsid w:val="00FA620F"/>
    <w:rsid w:val="00FA73E0"/>
    <w:rsid w:val="00FA7EFA"/>
    <w:rsid w:val="00FA7F2A"/>
    <w:rsid w:val="00FB0B46"/>
    <w:rsid w:val="00FB0C8A"/>
    <w:rsid w:val="00FB1462"/>
    <w:rsid w:val="00FB255D"/>
    <w:rsid w:val="00FB28E8"/>
    <w:rsid w:val="00FB292F"/>
    <w:rsid w:val="00FB2B46"/>
    <w:rsid w:val="00FB3410"/>
    <w:rsid w:val="00FB342E"/>
    <w:rsid w:val="00FB361B"/>
    <w:rsid w:val="00FB362B"/>
    <w:rsid w:val="00FB38FF"/>
    <w:rsid w:val="00FB3D8B"/>
    <w:rsid w:val="00FB3F74"/>
    <w:rsid w:val="00FB4147"/>
    <w:rsid w:val="00FB4651"/>
    <w:rsid w:val="00FB479E"/>
    <w:rsid w:val="00FB51D6"/>
    <w:rsid w:val="00FB5278"/>
    <w:rsid w:val="00FB5509"/>
    <w:rsid w:val="00FB5976"/>
    <w:rsid w:val="00FB5AC8"/>
    <w:rsid w:val="00FB6B92"/>
    <w:rsid w:val="00FB6C38"/>
    <w:rsid w:val="00FB6C96"/>
    <w:rsid w:val="00FB6DF7"/>
    <w:rsid w:val="00FB722A"/>
    <w:rsid w:val="00FC06FB"/>
    <w:rsid w:val="00FC0E6F"/>
    <w:rsid w:val="00FC1272"/>
    <w:rsid w:val="00FC1577"/>
    <w:rsid w:val="00FC1711"/>
    <w:rsid w:val="00FC19B8"/>
    <w:rsid w:val="00FC20A1"/>
    <w:rsid w:val="00FC227C"/>
    <w:rsid w:val="00FC2545"/>
    <w:rsid w:val="00FC2D01"/>
    <w:rsid w:val="00FC2E20"/>
    <w:rsid w:val="00FC32C9"/>
    <w:rsid w:val="00FC32F8"/>
    <w:rsid w:val="00FC347F"/>
    <w:rsid w:val="00FC533E"/>
    <w:rsid w:val="00FC566E"/>
    <w:rsid w:val="00FC6023"/>
    <w:rsid w:val="00FC7617"/>
    <w:rsid w:val="00FC79DC"/>
    <w:rsid w:val="00FD041F"/>
    <w:rsid w:val="00FD06D3"/>
    <w:rsid w:val="00FD084F"/>
    <w:rsid w:val="00FD0CEE"/>
    <w:rsid w:val="00FD1374"/>
    <w:rsid w:val="00FD19EB"/>
    <w:rsid w:val="00FD1DE9"/>
    <w:rsid w:val="00FD2830"/>
    <w:rsid w:val="00FD32F7"/>
    <w:rsid w:val="00FD3AAF"/>
    <w:rsid w:val="00FD40AF"/>
    <w:rsid w:val="00FD424B"/>
    <w:rsid w:val="00FD481B"/>
    <w:rsid w:val="00FD5010"/>
    <w:rsid w:val="00FD5D2F"/>
    <w:rsid w:val="00FD62AF"/>
    <w:rsid w:val="00FD645A"/>
    <w:rsid w:val="00FD7793"/>
    <w:rsid w:val="00FE0117"/>
    <w:rsid w:val="00FE1202"/>
    <w:rsid w:val="00FE12E8"/>
    <w:rsid w:val="00FE1506"/>
    <w:rsid w:val="00FE1724"/>
    <w:rsid w:val="00FE1A1C"/>
    <w:rsid w:val="00FE1E5E"/>
    <w:rsid w:val="00FE1F29"/>
    <w:rsid w:val="00FE1FE4"/>
    <w:rsid w:val="00FE256B"/>
    <w:rsid w:val="00FE2762"/>
    <w:rsid w:val="00FE2BED"/>
    <w:rsid w:val="00FE3408"/>
    <w:rsid w:val="00FE3D62"/>
    <w:rsid w:val="00FE4517"/>
    <w:rsid w:val="00FE4653"/>
    <w:rsid w:val="00FE4E34"/>
    <w:rsid w:val="00FE5796"/>
    <w:rsid w:val="00FE5A18"/>
    <w:rsid w:val="00FE5ADA"/>
    <w:rsid w:val="00FE6204"/>
    <w:rsid w:val="00FE6A3C"/>
    <w:rsid w:val="00FE6E65"/>
    <w:rsid w:val="00FF069B"/>
    <w:rsid w:val="00FF0B89"/>
    <w:rsid w:val="00FF113B"/>
    <w:rsid w:val="00FF2074"/>
    <w:rsid w:val="00FF31F4"/>
    <w:rsid w:val="00FF4374"/>
    <w:rsid w:val="00FF44EB"/>
    <w:rsid w:val="00FF675C"/>
    <w:rsid w:val="00FF6C51"/>
    <w:rsid w:val="00FF76C5"/>
    <w:rsid w:val="00FF77BE"/>
    <w:rsid w:val="00FF78ED"/>
    <w:rsid w:val="01001B66"/>
    <w:rsid w:val="01032BCA"/>
    <w:rsid w:val="014F6641"/>
    <w:rsid w:val="017549B6"/>
    <w:rsid w:val="0176597C"/>
    <w:rsid w:val="01777C67"/>
    <w:rsid w:val="01804A4C"/>
    <w:rsid w:val="018502B5"/>
    <w:rsid w:val="01A95E0E"/>
    <w:rsid w:val="01AE3368"/>
    <w:rsid w:val="01B80280"/>
    <w:rsid w:val="0233386D"/>
    <w:rsid w:val="024A0BB7"/>
    <w:rsid w:val="02604EBC"/>
    <w:rsid w:val="026A65C2"/>
    <w:rsid w:val="026D7745"/>
    <w:rsid w:val="026E734C"/>
    <w:rsid w:val="02A9164A"/>
    <w:rsid w:val="02BF77F6"/>
    <w:rsid w:val="02CE1EFF"/>
    <w:rsid w:val="02E54431"/>
    <w:rsid w:val="02EB239A"/>
    <w:rsid w:val="02EF1E8A"/>
    <w:rsid w:val="030A6CC4"/>
    <w:rsid w:val="03167089"/>
    <w:rsid w:val="03393DEC"/>
    <w:rsid w:val="03444709"/>
    <w:rsid w:val="034D095E"/>
    <w:rsid w:val="03542DE1"/>
    <w:rsid w:val="036B5288"/>
    <w:rsid w:val="036F4D79"/>
    <w:rsid w:val="03922815"/>
    <w:rsid w:val="03B34FA0"/>
    <w:rsid w:val="03C52BEB"/>
    <w:rsid w:val="03CC5D27"/>
    <w:rsid w:val="03CF5817"/>
    <w:rsid w:val="03D67AB3"/>
    <w:rsid w:val="03E77005"/>
    <w:rsid w:val="03E830C2"/>
    <w:rsid w:val="040C6A6B"/>
    <w:rsid w:val="04137DFA"/>
    <w:rsid w:val="0416325B"/>
    <w:rsid w:val="042E479B"/>
    <w:rsid w:val="04363AE8"/>
    <w:rsid w:val="043774CE"/>
    <w:rsid w:val="045F7F6B"/>
    <w:rsid w:val="046E58C3"/>
    <w:rsid w:val="04834F4F"/>
    <w:rsid w:val="048D70B3"/>
    <w:rsid w:val="049B69AA"/>
    <w:rsid w:val="04B769D7"/>
    <w:rsid w:val="04BD2FA3"/>
    <w:rsid w:val="05017C52"/>
    <w:rsid w:val="053911EF"/>
    <w:rsid w:val="053E0B8B"/>
    <w:rsid w:val="05432019"/>
    <w:rsid w:val="05571F68"/>
    <w:rsid w:val="056A0389"/>
    <w:rsid w:val="05753440"/>
    <w:rsid w:val="05C25634"/>
    <w:rsid w:val="05C928A8"/>
    <w:rsid w:val="05E21E9C"/>
    <w:rsid w:val="05E273D2"/>
    <w:rsid w:val="06105263"/>
    <w:rsid w:val="061614DB"/>
    <w:rsid w:val="06350D03"/>
    <w:rsid w:val="063B53E6"/>
    <w:rsid w:val="064058EF"/>
    <w:rsid w:val="065920E9"/>
    <w:rsid w:val="065B15E4"/>
    <w:rsid w:val="06652382"/>
    <w:rsid w:val="067C415F"/>
    <w:rsid w:val="06976AC0"/>
    <w:rsid w:val="069E40E0"/>
    <w:rsid w:val="06A0494E"/>
    <w:rsid w:val="06AD1138"/>
    <w:rsid w:val="06C64B0E"/>
    <w:rsid w:val="06DA7DBE"/>
    <w:rsid w:val="06E20077"/>
    <w:rsid w:val="06E42CC1"/>
    <w:rsid w:val="06EE2458"/>
    <w:rsid w:val="070B0806"/>
    <w:rsid w:val="07225A4C"/>
    <w:rsid w:val="072E0AA7"/>
    <w:rsid w:val="07342561"/>
    <w:rsid w:val="07513835"/>
    <w:rsid w:val="076369A2"/>
    <w:rsid w:val="076F7059"/>
    <w:rsid w:val="07877964"/>
    <w:rsid w:val="07972AF0"/>
    <w:rsid w:val="079E3E7E"/>
    <w:rsid w:val="07B12560"/>
    <w:rsid w:val="07BA49ED"/>
    <w:rsid w:val="07BD5A42"/>
    <w:rsid w:val="07D17DB0"/>
    <w:rsid w:val="07E85C11"/>
    <w:rsid w:val="07FB4E2D"/>
    <w:rsid w:val="080B19C1"/>
    <w:rsid w:val="083245C7"/>
    <w:rsid w:val="08373320"/>
    <w:rsid w:val="083C6A92"/>
    <w:rsid w:val="084F5179"/>
    <w:rsid w:val="08537CAA"/>
    <w:rsid w:val="086A3D60"/>
    <w:rsid w:val="08BE3A65"/>
    <w:rsid w:val="08DF6350"/>
    <w:rsid w:val="091A12E3"/>
    <w:rsid w:val="092326FB"/>
    <w:rsid w:val="093F52F5"/>
    <w:rsid w:val="09592A2D"/>
    <w:rsid w:val="096259C1"/>
    <w:rsid w:val="09631B65"/>
    <w:rsid w:val="096E7880"/>
    <w:rsid w:val="09881F8B"/>
    <w:rsid w:val="098A180A"/>
    <w:rsid w:val="098F7F12"/>
    <w:rsid w:val="099E0166"/>
    <w:rsid w:val="09A26A62"/>
    <w:rsid w:val="09A66753"/>
    <w:rsid w:val="09AC0EED"/>
    <w:rsid w:val="09C4316C"/>
    <w:rsid w:val="09CB1EE9"/>
    <w:rsid w:val="09E52478"/>
    <w:rsid w:val="09EA33AB"/>
    <w:rsid w:val="0A0A6038"/>
    <w:rsid w:val="0A0F3905"/>
    <w:rsid w:val="0A1F0C00"/>
    <w:rsid w:val="0A297CDF"/>
    <w:rsid w:val="0A374116"/>
    <w:rsid w:val="0A430D0D"/>
    <w:rsid w:val="0A560642"/>
    <w:rsid w:val="0A8708CD"/>
    <w:rsid w:val="0A9A10E9"/>
    <w:rsid w:val="0AC43BFC"/>
    <w:rsid w:val="0AD97926"/>
    <w:rsid w:val="0AE41BA8"/>
    <w:rsid w:val="0AF0197B"/>
    <w:rsid w:val="0AFB20FF"/>
    <w:rsid w:val="0B163D2C"/>
    <w:rsid w:val="0B1A381C"/>
    <w:rsid w:val="0B1D155E"/>
    <w:rsid w:val="0B25118C"/>
    <w:rsid w:val="0B2F0898"/>
    <w:rsid w:val="0B372620"/>
    <w:rsid w:val="0B574A70"/>
    <w:rsid w:val="0B674587"/>
    <w:rsid w:val="0B811AED"/>
    <w:rsid w:val="0B863E3A"/>
    <w:rsid w:val="0B995A3F"/>
    <w:rsid w:val="0BA7376B"/>
    <w:rsid w:val="0BAA1044"/>
    <w:rsid w:val="0BB318B2"/>
    <w:rsid w:val="0BBD20A3"/>
    <w:rsid w:val="0BBF43C3"/>
    <w:rsid w:val="0BBF6171"/>
    <w:rsid w:val="0BD77A17"/>
    <w:rsid w:val="0BE01DA1"/>
    <w:rsid w:val="0C122745"/>
    <w:rsid w:val="0C1A3DB2"/>
    <w:rsid w:val="0C3C3C66"/>
    <w:rsid w:val="0C3F7360"/>
    <w:rsid w:val="0C430B50"/>
    <w:rsid w:val="0C4B17E2"/>
    <w:rsid w:val="0C526FE5"/>
    <w:rsid w:val="0C596B27"/>
    <w:rsid w:val="0C8E12DE"/>
    <w:rsid w:val="0CA27F6D"/>
    <w:rsid w:val="0CCA3020"/>
    <w:rsid w:val="0CCC04D4"/>
    <w:rsid w:val="0CEE31B2"/>
    <w:rsid w:val="0CF12CA2"/>
    <w:rsid w:val="0CF30828"/>
    <w:rsid w:val="0D224C0A"/>
    <w:rsid w:val="0D386EBC"/>
    <w:rsid w:val="0D50069F"/>
    <w:rsid w:val="0D5B011C"/>
    <w:rsid w:val="0D6E50C8"/>
    <w:rsid w:val="0D7268FC"/>
    <w:rsid w:val="0D777164"/>
    <w:rsid w:val="0D815DCD"/>
    <w:rsid w:val="0D9553DC"/>
    <w:rsid w:val="0D9D0734"/>
    <w:rsid w:val="0DA020A3"/>
    <w:rsid w:val="0DA4444E"/>
    <w:rsid w:val="0DB8556E"/>
    <w:rsid w:val="0DC52BE4"/>
    <w:rsid w:val="0DDE3227"/>
    <w:rsid w:val="0DE73632"/>
    <w:rsid w:val="0DF979A9"/>
    <w:rsid w:val="0E16243F"/>
    <w:rsid w:val="0E1C3D4F"/>
    <w:rsid w:val="0E26072A"/>
    <w:rsid w:val="0E275516"/>
    <w:rsid w:val="0E30418A"/>
    <w:rsid w:val="0E427C0F"/>
    <w:rsid w:val="0E51414E"/>
    <w:rsid w:val="0E5434E9"/>
    <w:rsid w:val="0E59465B"/>
    <w:rsid w:val="0E6B5B07"/>
    <w:rsid w:val="0EA877A3"/>
    <w:rsid w:val="0EAA3109"/>
    <w:rsid w:val="0EC24DC3"/>
    <w:rsid w:val="0EC341CA"/>
    <w:rsid w:val="0EC635A1"/>
    <w:rsid w:val="0ED168E7"/>
    <w:rsid w:val="0ED31894"/>
    <w:rsid w:val="0EE761CE"/>
    <w:rsid w:val="0EEE7499"/>
    <w:rsid w:val="0F07430E"/>
    <w:rsid w:val="0F2E7896"/>
    <w:rsid w:val="0F336A1E"/>
    <w:rsid w:val="0F423341"/>
    <w:rsid w:val="0F476BAA"/>
    <w:rsid w:val="0F476CF8"/>
    <w:rsid w:val="0F4902DA"/>
    <w:rsid w:val="0F4B4560"/>
    <w:rsid w:val="0F6E2388"/>
    <w:rsid w:val="0F730BD4"/>
    <w:rsid w:val="0F7D6A6F"/>
    <w:rsid w:val="0F871BA5"/>
    <w:rsid w:val="0F87344A"/>
    <w:rsid w:val="0F9242C9"/>
    <w:rsid w:val="0F9F2542"/>
    <w:rsid w:val="0FA61B22"/>
    <w:rsid w:val="0FB3423F"/>
    <w:rsid w:val="0FC246CB"/>
    <w:rsid w:val="0FD61CDB"/>
    <w:rsid w:val="0FD75977"/>
    <w:rsid w:val="0FE8038D"/>
    <w:rsid w:val="10090BD7"/>
    <w:rsid w:val="1027273F"/>
    <w:rsid w:val="10403BC6"/>
    <w:rsid w:val="105943FB"/>
    <w:rsid w:val="107B4D5D"/>
    <w:rsid w:val="10BB17DB"/>
    <w:rsid w:val="10CD7582"/>
    <w:rsid w:val="10FA130E"/>
    <w:rsid w:val="110F5924"/>
    <w:rsid w:val="112E27CD"/>
    <w:rsid w:val="112F5BE3"/>
    <w:rsid w:val="11430EC2"/>
    <w:rsid w:val="11501B34"/>
    <w:rsid w:val="116539F2"/>
    <w:rsid w:val="116A4DD1"/>
    <w:rsid w:val="11776A7F"/>
    <w:rsid w:val="11856AB5"/>
    <w:rsid w:val="118B4E2E"/>
    <w:rsid w:val="11901201"/>
    <w:rsid w:val="11D9002A"/>
    <w:rsid w:val="11DB5E58"/>
    <w:rsid w:val="11DF756D"/>
    <w:rsid w:val="11F03528"/>
    <w:rsid w:val="12042B30"/>
    <w:rsid w:val="12154D3D"/>
    <w:rsid w:val="121A1B0D"/>
    <w:rsid w:val="122B3B36"/>
    <w:rsid w:val="12452F75"/>
    <w:rsid w:val="125E7697"/>
    <w:rsid w:val="12675F33"/>
    <w:rsid w:val="12691A62"/>
    <w:rsid w:val="12697462"/>
    <w:rsid w:val="129526FC"/>
    <w:rsid w:val="129E11D6"/>
    <w:rsid w:val="12A65A93"/>
    <w:rsid w:val="12C30C3D"/>
    <w:rsid w:val="12D15108"/>
    <w:rsid w:val="12F86B39"/>
    <w:rsid w:val="130059ED"/>
    <w:rsid w:val="13182D37"/>
    <w:rsid w:val="13183BF3"/>
    <w:rsid w:val="13192B9F"/>
    <w:rsid w:val="13207E3D"/>
    <w:rsid w:val="1324792E"/>
    <w:rsid w:val="13294F44"/>
    <w:rsid w:val="132A027E"/>
    <w:rsid w:val="132B4303"/>
    <w:rsid w:val="134206BE"/>
    <w:rsid w:val="13627050"/>
    <w:rsid w:val="13904993"/>
    <w:rsid w:val="139A1C64"/>
    <w:rsid w:val="13AC345B"/>
    <w:rsid w:val="13BD743A"/>
    <w:rsid w:val="13DB229A"/>
    <w:rsid w:val="13EC5F71"/>
    <w:rsid w:val="13EF3400"/>
    <w:rsid w:val="140E7B71"/>
    <w:rsid w:val="141D25CF"/>
    <w:rsid w:val="14261483"/>
    <w:rsid w:val="14263231"/>
    <w:rsid w:val="143E6CD0"/>
    <w:rsid w:val="14586BDA"/>
    <w:rsid w:val="146614C7"/>
    <w:rsid w:val="14693DEC"/>
    <w:rsid w:val="146D0E60"/>
    <w:rsid w:val="14975EDD"/>
    <w:rsid w:val="14D84D78"/>
    <w:rsid w:val="14EF1875"/>
    <w:rsid w:val="14F50E56"/>
    <w:rsid w:val="15034865"/>
    <w:rsid w:val="1504701A"/>
    <w:rsid w:val="150572EB"/>
    <w:rsid w:val="151505A6"/>
    <w:rsid w:val="151F1012"/>
    <w:rsid w:val="15217EF2"/>
    <w:rsid w:val="15490013"/>
    <w:rsid w:val="157E75FA"/>
    <w:rsid w:val="1598015F"/>
    <w:rsid w:val="15991BC6"/>
    <w:rsid w:val="15D04CE1"/>
    <w:rsid w:val="15E65833"/>
    <w:rsid w:val="15EF3AF7"/>
    <w:rsid w:val="15F630D7"/>
    <w:rsid w:val="15FD3544"/>
    <w:rsid w:val="16690891"/>
    <w:rsid w:val="16A6065A"/>
    <w:rsid w:val="16CF7BB0"/>
    <w:rsid w:val="16D7469F"/>
    <w:rsid w:val="16DE6045"/>
    <w:rsid w:val="16F13FCB"/>
    <w:rsid w:val="16F2516D"/>
    <w:rsid w:val="17160086"/>
    <w:rsid w:val="171657DF"/>
    <w:rsid w:val="17171F34"/>
    <w:rsid w:val="1752258F"/>
    <w:rsid w:val="17740758"/>
    <w:rsid w:val="17A11A41"/>
    <w:rsid w:val="17A96653"/>
    <w:rsid w:val="17C074F9"/>
    <w:rsid w:val="17ED6AF5"/>
    <w:rsid w:val="188C387F"/>
    <w:rsid w:val="18906CB8"/>
    <w:rsid w:val="18AC5CCF"/>
    <w:rsid w:val="18AD1606"/>
    <w:rsid w:val="18B0756E"/>
    <w:rsid w:val="18B25F43"/>
    <w:rsid w:val="18E611E1"/>
    <w:rsid w:val="18E63A9B"/>
    <w:rsid w:val="18FF22A3"/>
    <w:rsid w:val="19166F83"/>
    <w:rsid w:val="195E16BF"/>
    <w:rsid w:val="196D1903"/>
    <w:rsid w:val="197E3051"/>
    <w:rsid w:val="198F7ACB"/>
    <w:rsid w:val="199851AB"/>
    <w:rsid w:val="19992F32"/>
    <w:rsid w:val="19B906A4"/>
    <w:rsid w:val="19D41982"/>
    <w:rsid w:val="19E6347B"/>
    <w:rsid w:val="19EC4B6F"/>
    <w:rsid w:val="19F02BAF"/>
    <w:rsid w:val="19F04447"/>
    <w:rsid w:val="19F673DD"/>
    <w:rsid w:val="19FB0CBC"/>
    <w:rsid w:val="19FE255B"/>
    <w:rsid w:val="1A10675F"/>
    <w:rsid w:val="1A1166B8"/>
    <w:rsid w:val="1A191039"/>
    <w:rsid w:val="1A310B82"/>
    <w:rsid w:val="1A385A6D"/>
    <w:rsid w:val="1A3C48DA"/>
    <w:rsid w:val="1A4C32C6"/>
    <w:rsid w:val="1A613215"/>
    <w:rsid w:val="1A653E8B"/>
    <w:rsid w:val="1A6F35FE"/>
    <w:rsid w:val="1A856DCA"/>
    <w:rsid w:val="1A883976"/>
    <w:rsid w:val="1AB772D9"/>
    <w:rsid w:val="1ACD08AB"/>
    <w:rsid w:val="1AD825C9"/>
    <w:rsid w:val="1AF5570C"/>
    <w:rsid w:val="1AFFEAF4"/>
    <w:rsid w:val="1B310DF8"/>
    <w:rsid w:val="1B385AA8"/>
    <w:rsid w:val="1B444D40"/>
    <w:rsid w:val="1B50328A"/>
    <w:rsid w:val="1B5543FC"/>
    <w:rsid w:val="1B5D336F"/>
    <w:rsid w:val="1B6122F6"/>
    <w:rsid w:val="1B650AE3"/>
    <w:rsid w:val="1B9854B6"/>
    <w:rsid w:val="1BA023F7"/>
    <w:rsid w:val="1BA41894"/>
    <w:rsid w:val="1BA65B76"/>
    <w:rsid w:val="1BC506B5"/>
    <w:rsid w:val="1BE83859"/>
    <w:rsid w:val="1BFB1448"/>
    <w:rsid w:val="1BFD65D7"/>
    <w:rsid w:val="1C230137"/>
    <w:rsid w:val="1C7B60E4"/>
    <w:rsid w:val="1C82218A"/>
    <w:rsid w:val="1C8431EB"/>
    <w:rsid w:val="1C920ECD"/>
    <w:rsid w:val="1CAD0994"/>
    <w:rsid w:val="1CB27630"/>
    <w:rsid w:val="1CBD66FD"/>
    <w:rsid w:val="1CC554CD"/>
    <w:rsid w:val="1CC932F4"/>
    <w:rsid w:val="1CD777BF"/>
    <w:rsid w:val="1D3C520C"/>
    <w:rsid w:val="1D4110DC"/>
    <w:rsid w:val="1D4B5AB7"/>
    <w:rsid w:val="1D54246F"/>
    <w:rsid w:val="1D5C4168"/>
    <w:rsid w:val="1D8E29C0"/>
    <w:rsid w:val="1D9A07EC"/>
    <w:rsid w:val="1DA6050B"/>
    <w:rsid w:val="1DA93BEE"/>
    <w:rsid w:val="1DBA49EB"/>
    <w:rsid w:val="1DC11F2F"/>
    <w:rsid w:val="1DDF621E"/>
    <w:rsid w:val="1DE52B58"/>
    <w:rsid w:val="1E14059F"/>
    <w:rsid w:val="1E246450"/>
    <w:rsid w:val="1E252E3F"/>
    <w:rsid w:val="1E2C58E8"/>
    <w:rsid w:val="1E405A4E"/>
    <w:rsid w:val="1E861CBC"/>
    <w:rsid w:val="1EA20A8B"/>
    <w:rsid w:val="1EBA7398"/>
    <w:rsid w:val="1EBD4792"/>
    <w:rsid w:val="1EE44C47"/>
    <w:rsid w:val="1EE461C3"/>
    <w:rsid w:val="1EEF5BF8"/>
    <w:rsid w:val="1F0A1AAF"/>
    <w:rsid w:val="1F133864"/>
    <w:rsid w:val="1F1620F4"/>
    <w:rsid w:val="1F1840BF"/>
    <w:rsid w:val="1F48167B"/>
    <w:rsid w:val="1F5C7063"/>
    <w:rsid w:val="1F6E3CDF"/>
    <w:rsid w:val="1F6F0182"/>
    <w:rsid w:val="1F8E7A79"/>
    <w:rsid w:val="1F925C1F"/>
    <w:rsid w:val="1F9E13B0"/>
    <w:rsid w:val="1FA63501"/>
    <w:rsid w:val="1FB4091D"/>
    <w:rsid w:val="1FC85173"/>
    <w:rsid w:val="20452C91"/>
    <w:rsid w:val="206F23E6"/>
    <w:rsid w:val="206F26D4"/>
    <w:rsid w:val="20727347"/>
    <w:rsid w:val="207D242B"/>
    <w:rsid w:val="2083271B"/>
    <w:rsid w:val="20832DF2"/>
    <w:rsid w:val="209F23F3"/>
    <w:rsid w:val="20A774A8"/>
    <w:rsid w:val="20B61DE1"/>
    <w:rsid w:val="20BD2B32"/>
    <w:rsid w:val="20BE47F2"/>
    <w:rsid w:val="20FF005D"/>
    <w:rsid w:val="21270E44"/>
    <w:rsid w:val="21556F04"/>
    <w:rsid w:val="215E78BF"/>
    <w:rsid w:val="215F224C"/>
    <w:rsid w:val="2178310C"/>
    <w:rsid w:val="21817CF9"/>
    <w:rsid w:val="21845A3B"/>
    <w:rsid w:val="21941D67"/>
    <w:rsid w:val="21A462FB"/>
    <w:rsid w:val="21AF0D0A"/>
    <w:rsid w:val="21BA145D"/>
    <w:rsid w:val="21C614B4"/>
    <w:rsid w:val="21D56297"/>
    <w:rsid w:val="21DA565B"/>
    <w:rsid w:val="21F91F85"/>
    <w:rsid w:val="2204756A"/>
    <w:rsid w:val="221561FF"/>
    <w:rsid w:val="22192627"/>
    <w:rsid w:val="22227E38"/>
    <w:rsid w:val="22407BB4"/>
    <w:rsid w:val="22462CF1"/>
    <w:rsid w:val="22573150"/>
    <w:rsid w:val="22711D88"/>
    <w:rsid w:val="227E1A3D"/>
    <w:rsid w:val="22806203"/>
    <w:rsid w:val="22943A5C"/>
    <w:rsid w:val="22CC1807"/>
    <w:rsid w:val="2322550C"/>
    <w:rsid w:val="23397754"/>
    <w:rsid w:val="235F22BC"/>
    <w:rsid w:val="23800688"/>
    <w:rsid w:val="238D775D"/>
    <w:rsid w:val="239A0F1A"/>
    <w:rsid w:val="23A44173"/>
    <w:rsid w:val="23AB3BDD"/>
    <w:rsid w:val="23BC326A"/>
    <w:rsid w:val="23C245F9"/>
    <w:rsid w:val="23E81D6D"/>
    <w:rsid w:val="23EA5501"/>
    <w:rsid w:val="23ED1676"/>
    <w:rsid w:val="23F81DDC"/>
    <w:rsid w:val="241E0D4B"/>
    <w:rsid w:val="242671BB"/>
    <w:rsid w:val="24277076"/>
    <w:rsid w:val="244514B2"/>
    <w:rsid w:val="248A1A30"/>
    <w:rsid w:val="248A3369"/>
    <w:rsid w:val="24942439"/>
    <w:rsid w:val="24997006"/>
    <w:rsid w:val="24A26904"/>
    <w:rsid w:val="24B2466D"/>
    <w:rsid w:val="24BF373F"/>
    <w:rsid w:val="24C50CA2"/>
    <w:rsid w:val="24D40A88"/>
    <w:rsid w:val="24F562E8"/>
    <w:rsid w:val="24F728A2"/>
    <w:rsid w:val="2503311B"/>
    <w:rsid w:val="25162E4E"/>
    <w:rsid w:val="25164F31"/>
    <w:rsid w:val="2519649B"/>
    <w:rsid w:val="25707877"/>
    <w:rsid w:val="25785B71"/>
    <w:rsid w:val="25AE05D3"/>
    <w:rsid w:val="25C3287D"/>
    <w:rsid w:val="25CA4E11"/>
    <w:rsid w:val="25CE197B"/>
    <w:rsid w:val="25CF7D2B"/>
    <w:rsid w:val="25DD69C0"/>
    <w:rsid w:val="25E7048C"/>
    <w:rsid w:val="25F96F8D"/>
    <w:rsid w:val="260B2F39"/>
    <w:rsid w:val="26143832"/>
    <w:rsid w:val="262514F2"/>
    <w:rsid w:val="26465CEC"/>
    <w:rsid w:val="265728A3"/>
    <w:rsid w:val="26792356"/>
    <w:rsid w:val="26A440C8"/>
    <w:rsid w:val="26A6221C"/>
    <w:rsid w:val="26AD6740"/>
    <w:rsid w:val="26E055AF"/>
    <w:rsid w:val="26E34FB2"/>
    <w:rsid w:val="26F471BF"/>
    <w:rsid w:val="27071C0A"/>
    <w:rsid w:val="272F1FA5"/>
    <w:rsid w:val="27346490"/>
    <w:rsid w:val="2735084C"/>
    <w:rsid w:val="27497829"/>
    <w:rsid w:val="27586508"/>
    <w:rsid w:val="275A1D28"/>
    <w:rsid w:val="276E0D20"/>
    <w:rsid w:val="276F6846"/>
    <w:rsid w:val="27814EF7"/>
    <w:rsid w:val="27870033"/>
    <w:rsid w:val="278729A0"/>
    <w:rsid w:val="278F2573"/>
    <w:rsid w:val="27A6495D"/>
    <w:rsid w:val="27B05040"/>
    <w:rsid w:val="27DA0EBD"/>
    <w:rsid w:val="27E04718"/>
    <w:rsid w:val="27F240D6"/>
    <w:rsid w:val="2802551A"/>
    <w:rsid w:val="28235125"/>
    <w:rsid w:val="283261F1"/>
    <w:rsid w:val="289B1727"/>
    <w:rsid w:val="28A864B3"/>
    <w:rsid w:val="28D51D72"/>
    <w:rsid w:val="28E62B38"/>
    <w:rsid w:val="29054A33"/>
    <w:rsid w:val="29471828"/>
    <w:rsid w:val="29491A44"/>
    <w:rsid w:val="29583A35"/>
    <w:rsid w:val="295D729E"/>
    <w:rsid w:val="29C11910"/>
    <w:rsid w:val="29E03EA3"/>
    <w:rsid w:val="29E73833"/>
    <w:rsid w:val="2A047719"/>
    <w:rsid w:val="2A0E67EA"/>
    <w:rsid w:val="2A1C134D"/>
    <w:rsid w:val="2A427744"/>
    <w:rsid w:val="2A6308E4"/>
    <w:rsid w:val="2A694B4E"/>
    <w:rsid w:val="2A853301"/>
    <w:rsid w:val="2A8820F8"/>
    <w:rsid w:val="2A8C2A8F"/>
    <w:rsid w:val="2AA1765E"/>
    <w:rsid w:val="2AA35184"/>
    <w:rsid w:val="2AAA6513"/>
    <w:rsid w:val="2AB4113F"/>
    <w:rsid w:val="2AB949A8"/>
    <w:rsid w:val="2ABB2425"/>
    <w:rsid w:val="2ABC4FEF"/>
    <w:rsid w:val="2ACA2711"/>
    <w:rsid w:val="2ADA66CC"/>
    <w:rsid w:val="2AEB5758"/>
    <w:rsid w:val="2B1C027A"/>
    <w:rsid w:val="2B1D1098"/>
    <w:rsid w:val="2B2C778D"/>
    <w:rsid w:val="2B391645"/>
    <w:rsid w:val="2B3E6C5B"/>
    <w:rsid w:val="2B466F22"/>
    <w:rsid w:val="2B591CE7"/>
    <w:rsid w:val="2B5D17D7"/>
    <w:rsid w:val="2B5E4ED7"/>
    <w:rsid w:val="2B6077F4"/>
    <w:rsid w:val="2B9E49B0"/>
    <w:rsid w:val="2BB44025"/>
    <w:rsid w:val="2BC64172"/>
    <w:rsid w:val="2BCE48A6"/>
    <w:rsid w:val="2BD076CF"/>
    <w:rsid w:val="2BE710A1"/>
    <w:rsid w:val="2BE86BC8"/>
    <w:rsid w:val="2BEA2D74"/>
    <w:rsid w:val="2BEA67B0"/>
    <w:rsid w:val="2BF86C95"/>
    <w:rsid w:val="2C02412C"/>
    <w:rsid w:val="2C2E1B2B"/>
    <w:rsid w:val="2C771EB1"/>
    <w:rsid w:val="2C774787"/>
    <w:rsid w:val="2C7C7A3B"/>
    <w:rsid w:val="2C952E29"/>
    <w:rsid w:val="2CC118F2"/>
    <w:rsid w:val="2CCD64E1"/>
    <w:rsid w:val="2CDD7DE4"/>
    <w:rsid w:val="2CEA52EC"/>
    <w:rsid w:val="2CF759FF"/>
    <w:rsid w:val="2CFECFDE"/>
    <w:rsid w:val="2D306A77"/>
    <w:rsid w:val="2D36650A"/>
    <w:rsid w:val="2D373DBD"/>
    <w:rsid w:val="2D3A3105"/>
    <w:rsid w:val="2D410C84"/>
    <w:rsid w:val="2D422D66"/>
    <w:rsid w:val="2D4803ED"/>
    <w:rsid w:val="2D60735C"/>
    <w:rsid w:val="2D6B7AAF"/>
    <w:rsid w:val="2D716C54"/>
    <w:rsid w:val="2D9256AB"/>
    <w:rsid w:val="2DA210E1"/>
    <w:rsid w:val="2DAC25A2"/>
    <w:rsid w:val="2DB80F46"/>
    <w:rsid w:val="2DCF003E"/>
    <w:rsid w:val="2DD13DB6"/>
    <w:rsid w:val="2DD218DC"/>
    <w:rsid w:val="2DDF24DE"/>
    <w:rsid w:val="2E0F2B31"/>
    <w:rsid w:val="2E436745"/>
    <w:rsid w:val="2E4F1BFF"/>
    <w:rsid w:val="2EA15E7F"/>
    <w:rsid w:val="2EA9088F"/>
    <w:rsid w:val="2EB21726"/>
    <w:rsid w:val="2EE07916"/>
    <w:rsid w:val="2EE9095E"/>
    <w:rsid w:val="2EEC6442"/>
    <w:rsid w:val="2F01691D"/>
    <w:rsid w:val="2F041F69"/>
    <w:rsid w:val="2F082A28"/>
    <w:rsid w:val="2F1228D8"/>
    <w:rsid w:val="2F154177"/>
    <w:rsid w:val="2F1543B2"/>
    <w:rsid w:val="2F1E618A"/>
    <w:rsid w:val="2F237FA6"/>
    <w:rsid w:val="2F283EAA"/>
    <w:rsid w:val="2F315C6B"/>
    <w:rsid w:val="2F3A781F"/>
    <w:rsid w:val="2F3E1CD1"/>
    <w:rsid w:val="2F5E54D7"/>
    <w:rsid w:val="2F5F64D2"/>
    <w:rsid w:val="2F6157D1"/>
    <w:rsid w:val="2F6748A7"/>
    <w:rsid w:val="2F7F6BBC"/>
    <w:rsid w:val="2F967065"/>
    <w:rsid w:val="2FA06013"/>
    <w:rsid w:val="2FBB5579"/>
    <w:rsid w:val="2FBE65BC"/>
    <w:rsid w:val="2FF173F7"/>
    <w:rsid w:val="2FFF0938"/>
    <w:rsid w:val="30072536"/>
    <w:rsid w:val="301A5EE8"/>
    <w:rsid w:val="301F6F00"/>
    <w:rsid w:val="30455DB9"/>
    <w:rsid w:val="304C1E1A"/>
    <w:rsid w:val="30515682"/>
    <w:rsid w:val="306440C4"/>
    <w:rsid w:val="30833B5E"/>
    <w:rsid w:val="30872E52"/>
    <w:rsid w:val="30984E71"/>
    <w:rsid w:val="30996A94"/>
    <w:rsid w:val="309A0DD7"/>
    <w:rsid w:val="30CA459F"/>
    <w:rsid w:val="30DF6A49"/>
    <w:rsid w:val="30E43E01"/>
    <w:rsid w:val="30EF1C7E"/>
    <w:rsid w:val="30F01FFA"/>
    <w:rsid w:val="30FC4936"/>
    <w:rsid w:val="30FE041F"/>
    <w:rsid w:val="311E6F17"/>
    <w:rsid w:val="31467CA7"/>
    <w:rsid w:val="314B20D2"/>
    <w:rsid w:val="315A2315"/>
    <w:rsid w:val="316867E0"/>
    <w:rsid w:val="317C2302"/>
    <w:rsid w:val="318A45C0"/>
    <w:rsid w:val="31927ECA"/>
    <w:rsid w:val="31DC6827"/>
    <w:rsid w:val="31E1386B"/>
    <w:rsid w:val="31E247E4"/>
    <w:rsid w:val="320C360F"/>
    <w:rsid w:val="325356E2"/>
    <w:rsid w:val="32640BCD"/>
    <w:rsid w:val="326918FF"/>
    <w:rsid w:val="32867865"/>
    <w:rsid w:val="328A6C2A"/>
    <w:rsid w:val="328F0A48"/>
    <w:rsid w:val="32923B96"/>
    <w:rsid w:val="329D695D"/>
    <w:rsid w:val="32AD4288"/>
    <w:rsid w:val="32B15F7A"/>
    <w:rsid w:val="32BB4D31"/>
    <w:rsid w:val="32CE2FBA"/>
    <w:rsid w:val="32F347CF"/>
    <w:rsid w:val="32FF4F22"/>
    <w:rsid w:val="330A1EA8"/>
    <w:rsid w:val="33142830"/>
    <w:rsid w:val="335B213B"/>
    <w:rsid w:val="33743AB9"/>
    <w:rsid w:val="337D5E54"/>
    <w:rsid w:val="33955886"/>
    <w:rsid w:val="339E298D"/>
    <w:rsid w:val="33AB6E58"/>
    <w:rsid w:val="33AD7074"/>
    <w:rsid w:val="33B64394"/>
    <w:rsid w:val="33DC521C"/>
    <w:rsid w:val="33FC5905"/>
    <w:rsid w:val="341964B7"/>
    <w:rsid w:val="342015F4"/>
    <w:rsid w:val="34256C0A"/>
    <w:rsid w:val="343B731D"/>
    <w:rsid w:val="346160EF"/>
    <w:rsid w:val="346B00A7"/>
    <w:rsid w:val="347143E9"/>
    <w:rsid w:val="34730467"/>
    <w:rsid w:val="348E2A01"/>
    <w:rsid w:val="34943D90"/>
    <w:rsid w:val="34982725"/>
    <w:rsid w:val="3498562E"/>
    <w:rsid w:val="34A12946"/>
    <w:rsid w:val="34AE4818"/>
    <w:rsid w:val="34B11A07"/>
    <w:rsid w:val="34CA155F"/>
    <w:rsid w:val="35020CF9"/>
    <w:rsid w:val="35040E8C"/>
    <w:rsid w:val="3508284F"/>
    <w:rsid w:val="35150A2C"/>
    <w:rsid w:val="35157AE4"/>
    <w:rsid w:val="35182F75"/>
    <w:rsid w:val="35280AF7"/>
    <w:rsid w:val="352B64A2"/>
    <w:rsid w:val="352C7B91"/>
    <w:rsid w:val="352E1AEE"/>
    <w:rsid w:val="35355308"/>
    <w:rsid w:val="353A4937"/>
    <w:rsid w:val="35487054"/>
    <w:rsid w:val="3550415A"/>
    <w:rsid w:val="355359F9"/>
    <w:rsid w:val="355D6513"/>
    <w:rsid w:val="3562594E"/>
    <w:rsid w:val="356D2B33"/>
    <w:rsid w:val="35812566"/>
    <w:rsid w:val="359A7184"/>
    <w:rsid w:val="35A8352C"/>
    <w:rsid w:val="35BC22C3"/>
    <w:rsid w:val="35CF1523"/>
    <w:rsid w:val="35D323B6"/>
    <w:rsid w:val="35D60BCE"/>
    <w:rsid w:val="3604052F"/>
    <w:rsid w:val="36101F75"/>
    <w:rsid w:val="361B02C4"/>
    <w:rsid w:val="361C6D70"/>
    <w:rsid w:val="362F1FC2"/>
    <w:rsid w:val="363E5B11"/>
    <w:rsid w:val="366469D9"/>
    <w:rsid w:val="368808BE"/>
    <w:rsid w:val="368C5217"/>
    <w:rsid w:val="368D0A96"/>
    <w:rsid w:val="36A11C6D"/>
    <w:rsid w:val="36C06A28"/>
    <w:rsid w:val="36C5247C"/>
    <w:rsid w:val="36C877C6"/>
    <w:rsid w:val="36D52B69"/>
    <w:rsid w:val="36D67AC5"/>
    <w:rsid w:val="36F62AE0"/>
    <w:rsid w:val="36FA7868"/>
    <w:rsid w:val="371D62BE"/>
    <w:rsid w:val="372B505B"/>
    <w:rsid w:val="374426AF"/>
    <w:rsid w:val="37733277"/>
    <w:rsid w:val="3776254D"/>
    <w:rsid w:val="379D2F5B"/>
    <w:rsid w:val="37AF655A"/>
    <w:rsid w:val="37CD55EE"/>
    <w:rsid w:val="37D526F5"/>
    <w:rsid w:val="37DA5F5D"/>
    <w:rsid w:val="37DF3574"/>
    <w:rsid w:val="37F8FAE0"/>
    <w:rsid w:val="380576AC"/>
    <w:rsid w:val="3821322D"/>
    <w:rsid w:val="38222DFC"/>
    <w:rsid w:val="382F2B53"/>
    <w:rsid w:val="38385664"/>
    <w:rsid w:val="384A1563"/>
    <w:rsid w:val="386D5CEF"/>
    <w:rsid w:val="38701592"/>
    <w:rsid w:val="388E07B1"/>
    <w:rsid w:val="38A24CCD"/>
    <w:rsid w:val="38A4412D"/>
    <w:rsid w:val="38C93A96"/>
    <w:rsid w:val="38E5454B"/>
    <w:rsid w:val="38E825E6"/>
    <w:rsid w:val="38FE28DB"/>
    <w:rsid w:val="391D76E1"/>
    <w:rsid w:val="39220C70"/>
    <w:rsid w:val="392259BB"/>
    <w:rsid w:val="392751D2"/>
    <w:rsid w:val="39275AE1"/>
    <w:rsid w:val="39472CAA"/>
    <w:rsid w:val="39577C1E"/>
    <w:rsid w:val="395D0BF4"/>
    <w:rsid w:val="3962445C"/>
    <w:rsid w:val="39811679"/>
    <w:rsid w:val="39861F4D"/>
    <w:rsid w:val="39A359BC"/>
    <w:rsid w:val="39A46823"/>
    <w:rsid w:val="39B051C8"/>
    <w:rsid w:val="39CC129A"/>
    <w:rsid w:val="39D8245D"/>
    <w:rsid w:val="39EE20DF"/>
    <w:rsid w:val="3A1146C5"/>
    <w:rsid w:val="3A212068"/>
    <w:rsid w:val="3A2B6F44"/>
    <w:rsid w:val="3A4678DA"/>
    <w:rsid w:val="3A505A90"/>
    <w:rsid w:val="3A6B1EBC"/>
    <w:rsid w:val="3AA47164"/>
    <w:rsid w:val="3AA83F11"/>
    <w:rsid w:val="3AAC051F"/>
    <w:rsid w:val="3AB26D1E"/>
    <w:rsid w:val="3ACB3BF4"/>
    <w:rsid w:val="3AEE244B"/>
    <w:rsid w:val="3AEF4763"/>
    <w:rsid w:val="3B1874C8"/>
    <w:rsid w:val="3B331C0C"/>
    <w:rsid w:val="3B426D39"/>
    <w:rsid w:val="3B44206B"/>
    <w:rsid w:val="3B4F0A10"/>
    <w:rsid w:val="3B5956C0"/>
    <w:rsid w:val="3B5B73B5"/>
    <w:rsid w:val="3B732451"/>
    <w:rsid w:val="3B826852"/>
    <w:rsid w:val="3BA42B0A"/>
    <w:rsid w:val="3BA55FBD"/>
    <w:rsid w:val="3BB102B1"/>
    <w:rsid w:val="3BD20896"/>
    <w:rsid w:val="3BDD1F03"/>
    <w:rsid w:val="3BF53366"/>
    <w:rsid w:val="3C027831"/>
    <w:rsid w:val="3C132CEC"/>
    <w:rsid w:val="3C1D0ABD"/>
    <w:rsid w:val="3C3A6FCB"/>
    <w:rsid w:val="3C460065"/>
    <w:rsid w:val="3C4D7E6F"/>
    <w:rsid w:val="3C667F3E"/>
    <w:rsid w:val="3C681D8A"/>
    <w:rsid w:val="3C6B502D"/>
    <w:rsid w:val="3C9613C2"/>
    <w:rsid w:val="3C9F3BB5"/>
    <w:rsid w:val="3CA11CAA"/>
    <w:rsid w:val="3CA42D88"/>
    <w:rsid w:val="3CB959D9"/>
    <w:rsid w:val="3CC1358A"/>
    <w:rsid w:val="3CC33464"/>
    <w:rsid w:val="3CD72957"/>
    <w:rsid w:val="3CDD28F4"/>
    <w:rsid w:val="3CE25107"/>
    <w:rsid w:val="3CF955A4"/>
    <w:rsid w:val="3D156842"/>
    <w:rsid w:val="3D197528"/>
    <w:rsid w:val="3D1C3A84"/>
    <w:rsid w:val="3D3F6F8E"/>
    <w:rsid w:val="3D5567B2"/>
    <w:rsid w:val="3D580050"/>
    <w:rsid w:val="3D624A2B"/>
    <w:rsid w:val="3D7A7FC6"/>
    <w:rsid w:val="3D7B5AED"/>
    <w:rsid w:val="3D9B24C9"/>
    <w:rsid w:val="3DCC459A"/>
    <w:rsid w:val="3DDD2303"/>
    <w:rsid w:val="3E0136FB"/>
    <w:rsid w:val="3E0A408B"/>
    <w:rsid w:val="3E2717D1"/>
    <w:rsid w:val="3E35213F"/>
    <w:rsid w:val="3E3D4590"/>
    <w:rsid w:val="3E4448F7"/>
    <w:rsid w:val="3E55633E"/>
    <w:rsid w:val="3E57527A"/>
    <w:rsid w:val="3E622809"/>
    <w:rsid w:val="3E7C7D6E"/>
    <w:rsid w:val="3E854E75"/>
    <w:rsid w:val="3E9820B8"/>
    <w:rsid w:val="3EA13331"/>
    <w:rsid w:val="3EAB442F"/>
    <w:rsid w:val="3EBC016B"/>
    <w:rsid w:val="3EC15781"/>
    <w:rsid w:val="3ECD2065"/>
    <w:rsid w:val="3ECE57BA"/>
    <w:rsid w:val="3EDC7ED5"/>
    <w:rsid w:val="3EEC7613"/>
    <w:rsid w:val="3F0B2DC1"/>
    <w:rsid w:val="3F0F2990"/>
    <w:rsid w:val="3F1D32FF"/>
    <w:rsid w:val="3F1D716E"/>
    <w:rsid w:val="3F3F611C"/>
    <w:rsid w:val="3F3F6D66"/>
    <w:rsid w:val="3F413F8B"/>
    <w:rsid w:val="3F6853D5"/>
    <w:rsid w:val="3F716856"/>
    <w:rsid w:val="3F7F1D65"/>
    <w:rsid w:val="3F823162"/>
    <w:rsid w:val="3F82477E"/>
    <w:rsid w:val="3F9E4414"/>
    <w:rsid w:val="3FA169CC"/>
    <w:rsid w:val="3FAA090B"/>
    <w:rsid w:val="3FBE5D23"/>
    <w:rsid w:val="3FBE7F13"/>
    <w:rsid w:val="3FE668FE"/>
    <w:rsid w:val="3FE756BB"/>
    <w:rsid w:val="3FE848E0"/>
    <w:rsid w:val="3FE94F8F"/>
    <w:rsid w:val="3FF676AC"/>
    <w:rsid w:val="3FF90742"/>
    <w:rsid w:val="3FFF434D"/>
    <w:rsid w:val="3FFF586D"/>
    <w:rsid w:val="3FFF5A90"/>
    <w:rsid w:val="400159AA"/>
    <w:rsid w:val="40041DC9"/>
    <w:rsid w:val="4037219F"/>
    <w:rsid w:val="403D7B0D"/>
    <w:rsid w:val="4054457E"/>
    <w:rsid w:val="40556AC9"/>
    <w:rsid w:val="405F34A4"/>
    <w:rsid w:val="40890521"/>
    <w:rsid w:val="408F1FDB"/>
    <w:rsid w:val="40A356A1"/>
    <w:rsid w:val="40A56901"/>
    <w:rsid w:val="40E22B68"/>
    <w:rsid w:val="40E65973"/>
    <w:rsid w:val="40F63E08"/>
    <w:rsid w:val="40FF07E3"/>
    <w:rsid w:val="41060AF7"/>
    <w:rsid w:val="41102D46"/>
    <w:rsid w:val="41205D01"/>
    <w:rsid w:val="412D70FE"/>
    <w:rsid w:val="413D380E"/>
    <w:rsid w:val="414B7C91"/>
    <w:rsid w:val="4164207B"/>
    <w:rsid w:val="416763CD"/>
    <w:rsid w:val="41717301"/>
    <w:rsid w:val="418028A3"/>
    <w:rsid w:val="41967399"/>
    <w:rsid w:val="41AE3851"/>
    <w:rsid w:val="41C55588"/>
    <w:rsid w:val="41D9605E"/>
    <w:rsid w:val="41E811FF"/>
    <w:rsid w:val="41FB3530"/>
    <w:rsid w:val="42013769"/>
    <w:rsid w:val="4202569E"/>
    <w:rsid w:val="42067395"/>
    <w:rsid w:val="421D7172"/>
    <w:rsid w:val="42562947"/>
    <w:rsid w:val="425C413F"/>
    <w:rsid w:val="42782A7E"/>
    <w:rsid w:val="428222C6"/>
    <w:rsid w:val="42A31D6D"/>
    <w:rsid w:val="42AB6E74"/>
    <w:rsid w:val="42B60FF7"/>
    <w:rsid w:val="42B62CE0"/>
    <w:rsid w:val="42C45840"/>
    <w:rsid w:val="42CE64FC"/>
    <w:rsid w:val="42D40179"/>
    <w:rsid w:val="42D627D5"/>
    <w:rsid w:val="42D71A17"/>
    <w:rsid w:val="42DD7270"/>
    <w:rsid w:val="42E47111"/>
    <w:rsid w:val="43073CDD"/>
    <w:rsid w:val="4317190B"/>
    <w:rsid w:val="431A7B56"/>
    <w:rsid w:val="43212C92"/>
    <w:rsid w:val="433E55F2"/>
    <w:rsid w:val="4354227A"/>
    <w:rsid w:val="4361039B"/>
    <w:rsid w:val="436C2C5A"/>
    <w:rsid w:val="436C7A19"/>
    <w:rsid w:val="43792ACE"/>
    <w:rsid w:val="43833D5F"/>
    <w:rsid w:val="438749FB"/>
    <w:rsid w:val="43A46325"/>
    <w:rsid w:val="43AF029E"/>
    <w:rsid w:val="43F719F4"/>
    <w:rsid w:val="43F749ED"/>
    <w:rsid w:val="43FD3E11"/>
    <w:rsid w:val="440818CB"/>
    <w:rsid w:val="440E76BA"/>
    <w:rsid w:val="442F255A"/>
    <w:rsid w:val="443001A0"/>
    <w:rsid w:val="443D7559"/>
    <w:rsid w:val="44406DF4"/>
    <w:rsid w:val="44557B40"/>
    <w:rsid w:val="445965DF"/>
    <w:rsid w:val="44827761"/>
    <w:rsid w:val="44BD4C3D"/>
    <w:rsid w:val="44DA759D"/>
    <w:rsid w:val="44DE20FB"/>
    <w:rsid w:val="44F41E19"/>
    <w:rsid w:val="44FC39B7"/>
    <w:rsid w:val="44FD1115"/>
    <w:rsid w:val="450A3337"/>
    <w:rsid w:val="450E35BB"/>
    <w:rsid w:val="45237F84"/>
    <w:rsid w:val="452D4E44"/>
    <w:rsid w:val="45321187"/>
    <w:rsid w:val="45336CAD"/>
    <w:rsid w:val="453E5D7D"/>
    <w:rsid w:val="454315E6"/>
    <w:rsid w:val="45571D64"/>
    <w:rsid w:val="45596713"/>
    <w:rsid w:val="4565155C"/>
    <w:rsid w:val="458B2421"/>
    <w:rsid w:val="45A1630C"/>
    <w:rsid w:val="45A7491E"/>
    <w:rsid w:val="45AF4585"/>
    <w:rsid w:val="45B23FC2"/>
    <w:rsid w:val="45C01A0C"/>
    <w:rsid w:val="45C80B29"/>
    <w:rsid w:val="45CA214F"/>
    <w:rsid w:val="46017D10"/>
    <w:rsid w:val="46081EE8"/>
    <w:rsid w:val="462F4796"/>
    <w:rsid w:val="46354158"/>
    <w:rsid w:val="463D1F4F"/>
    <w:rsid w:val="463F7FFF"/>
    <w:rsid w:val="46403619"/>
    <w:rsid w:val="46560EA5"/>
    <w:rsid w:val="46935383"/>
    <w:rsid w:val="46957C1F"/>
    <w:rsid w:val="469F5F28"/>
    <w:rsid w:val="46A02F49"/>
    <w:rsid w:val="46C93C14"/>
    <w:rsid w:val="46D15E41"/>
    <w:rsid w:val="46D40BCE"/>
    <w:rsid w:val="46E243B0"/>
    <w:rsid w:val="46FC2286"/>
    <w:rsid w:val="47354F5E"/>
    <w:rsid w:val="475D0075"/>
    <w:rsid w:val="4771440D"/>
    <w:rsid w:val="47966A5C"/>
    <w:rsid w:val="47A839D0"/>
    <w:rsid w:val="47BF5F66"/>
    <w:rsid w:val="47C617C3"/>
    <w:rsid w:val="47D0284B"/>
    <w:rsid w:val="47D677D8"/>
    <w:rsid w:val="47EF7803"/>
    <w:rsid w:val="47F75DBA"/>
    <w:rsid w:val="47FA1B76"/>
    <w:rsid w:val="48164D90"/>
    <w:rsid w:val="482968D7"/>
    <w:rsid w:val="484F02A2"/>
    <w:rsid w:val="48594C7C"/>
    <w:rsid w:val="485B2A77"/>
    <w:rsid w:val="485C0789"/>
    <w:rsid w:val="485F4930"/>
    <w:rsid w:val="4876582E"/>
    <w:rsid w:val="48782132"/>
    <w:rsid w:val="48816465"/>
    <w:rsid w:val="48A24875"/>
    <w:rsid w:val="48A43880"/>
    <w:rsid w:val="48AF414A"/>
    <w:rsid w:val="48B12EB6"/>
    <w:rsid w:val="48B30830"/>
    <w:rsid w:val="48E23D71"/>
    <w:rsid w:val="48E409EA"/>
    <w:rsid w:val="48FC305A"/>
    <w:rsid w:val="48FF3A76"/>
    <w:rsid w:val="49016F80"/>
    <w:rsid w:val="490848D8"/>
    <w:rsid w:val="49156DF5"/>
    <w:rsid w:val="49415E3C"/>
    <w:rsid w:val="4953440B"/>
    <w:rsid w:val="495711BC"/>
    <w:rsid w:val="4957740E"/>
    <w:rsid w:val="49591191"/>
    <w:rsid w:val="497C2C57"/>
    <w:rsid w:val="497D0540"/>
    <w:rsid w:val="497E0E3E"/>
    <w:rsid w:val="49A563CB"/>
    <w:rsid w:val="49B85DEC"/>
    <w:rsid w:val="49C01457"/>
    <w:rsid w:val="49C56A6D"/>
    <w:rsid w:val="49EF4693"/>
    <w:rsid w:val="49F92273"/>
    <w:rsid w:val="4A160FCB"/>
    <w:rsid w:val="4A2B6DDB"/>
    <w:rsid w:val="4A365275"/>
    <w:rsid w:val="4A581AD8"/>
    <w:rsid w:val="4A5D099B"/>
    <w:rsid w:val="4A6035A3"/>
    <w:rsid w:val="4A663B23"/>
    <w:rsid w:val="4A6A3171"/>
    <w:rsid w:val="4A725A0F"/>
    <w:rsid w:val="4A780E06"/>
    <w:rsid w:val="4A7E79BF"/>
    <w:rsid w:val="4AC0722D"/>
    <w:rsid w:val="4AE574C0"/>
    <w:rsid w:val="4B271062"/>
    <w:rsid w:val="4B441C14"/>
    <w:rsid w:val="4B5323EE"/>
    <w:rsid w:val="4B5960D1"/>
    <w:rsid w:val="4B63653E"/>
    <w:rsid w:val="4B7818BD"/>
    <w:rsid w:val="4BA32DDE"/>
    <w:rsid w:val="4BAB50E1"/>
    <w:rsid w:val="4BBA0090"/>
    <w:rsid w:val="4BC16A64"/>
    <w:rsid w:val="4BD9235C"/>
    <w:rsid w:val="4BDC3BFA"/>
    <w:rsid w:val="4BF43EA0"/>
    <w:rsid w:val="4BF52F0E"/>
    <w:rsid w:val="4C03562B"/>
    <w:rsid w:val="4C2555A1"/>
    <w:rsid w:val="4C3706E1"/>
    <w:rsid w:val="4C9443E0"/>
    <w:rsid w:val="4CA3725D"/>
    <w:rsid w:val="4CAE1A3B"/>
    <w:rsid w:val="4CB701C3"/>
    <w:rsid w:val="4CBB174B"/>
    <w:rsid w:val="4CCC1EC1"/>
    <w:rsid w:val="4CDC3ABD"/>
    <w:rsid w:val="4CE4720A"/>
    <w:rsid w:val="4CE52F83"/>
    <w:rsid w:val="4CFD41FD"/>
    <w:rsid w:val="4D1743E4"/>
    <w:rsid w:val="4D1A70D0"/>
    <w:rsid w:val="4D241CFD"/>
    <w:rsid w:val="4D480659"/>
    <w:rsid w:val="4D5325E2"/>
    <w:rsid w:val="4D6A36BC"/>
    <w:rsid w:val="4D700A9E"/>
    <w:rsid w:val="4D786904"/>
    <w:rsid w:val="4D7C1024"/>
    <w:rsid w:val="4D7F0ED3"/>
    <w:rsid w:val="4D8409ED"/>
    <w:rsid w:val="4D8C37F8"/>
    <w:rsid w:val="4DCB5D3F"/>
    <w:rsid w:val="4DE72DAE"/>
    <w:rsid w:val="4DEB17E5"/>
    <w:rsid w:val="4DFA5FFD"/>
    <w:rsid w:val="4E1C494D"/>
    <w:rsid w:val="4E2B2C17"/>
    <w:rsid w:val="4E2D4BE1"/>
    <w:rsid w:val="4E313BA5"/>
    <w:rsid w:val="4E4B4500"/>
    <w:rsid w:val="4E68559F"/>
    <w:rsid w:val="4E912FF9"/>
    <w:rsid w:val="4E920EE8"/>
    <w:rsid w:val="4E995263"/>
    <w:rsid w:val="4EB153C4"/>
    <w:rsid w:val="4EB8094F"/>
    <w:rsid w:val="4EB96475"/>
    <w:rsid w:val="4ED618D6"/>
    <w:rsid w:val="4EDB288F"/>
    <w:rsid w:val="4EE07EA5"/>
    <w:rsid w:val="4F172792"/>
    <w:rsid w:val="4F18763F"/>
    <w:rsid w:val="4F1D07B2"/>
    <w:rsid w:val="4F2204BE"/>
    <w:rsid w:val="4F31425D"/>
    <w:rsid w:val="4F4B37AF"/>
    <w:rsid w:val="4F586E20"/>
    <w:rsid w:val="4F710326"/>
    <w:rsid w:val="4F716D4F"/>
    <w:rsid w:val="4F8151E4"/>
    <w:rsid w:val="4F863B33"/>
    <w:rsid w:val="4F86602C"/>
    <w:rsid w:val="4F8E742F"/>
    <w:rsid w:val="4FB235F0"/>
    <w:rsid w:val="4FCB2904"/>
    <w:rsid w:val="4FCB46B2"/>
    <w:rsid w:val="4FCE7CFE"/>
    <w:rsid w:val="4FD33566"/>
    <w:rsid w:val="4FDD082E"/>
    <w:rsid w:val="4FE45773"/>
    <w:rsid w:val="4FFA5F42"/>
    <w:rsid w:val="503E20C8"/>
    <w:rsid w:val="503F29AA"/>
    <w:rsid w:val="50487D45"/>
    <w:rsid w:val="504C6B18"/>
    <w:rsid w:val="504F7091"/>
    <w:rsid w:val="50507626"/>
    <w:rsid w:val="50533615"/>
    <w:rsid w:val="505C6E88"/>
    <w:rsid w:val="506063EA"/>
    <w:rsid w:val="5063433A"/>
    <w:rsid w:val="50720FD1"/>
    <w:rsid w:val="50785C5E"/>
    <w:rsid w:val="507D4E89"/>
    <w:rsid w:val="508C2093"/>
    <w:rsid w:val="509F4F5A"/>
    <w:rsid w:val="50AF5D81"/>
    <w:rsid w:val="50B02C02"/>
    <w:rsid w:val="50E855DB"/>
    <w:rsid w:val="50EC0D83"/>
    <w:rsid w:val="50F34A21"/>
    <w:rsid w:val="50F80A55"/>
    <w:rsid w:val="50F871FD"/>
    <w:rsid w:val="51416219"/>
    <w:rsid w:val="51421F84"/>
    <w:rsid w:val="516027F3"/>
    <w:rsid w:val="51A72EFC"/>
    <w:rsid w:val="51B3364F"/>
    <w:rsid w:val="51B84DE9"/>
    <w:rsid w:val="51BA16F7"/>
    <w:rsid w:val="51D13AD5"/>
    <w:rsid w:val="51D60337"/>
    <w:rsid w:val="51F16B3D"/>
    <w:rsid w:val="520143BB"/>
    <w:rsid w:val="520340C1"/>
    <w:rsid w:val="522D2509"/>
    <w:rsid w:val="5258170F"/>
    <w:rsid w:val="526366A8"/>
    <w:rsid w:val="52747901"/>
    <w:rsid w:val="528154FB"/>
    <w:rsid w:val="52930D27"/>
    <w:rsid w:val="52A665A4"/>
    <w:rsid w:val="52B25C65"/>
    <w:rsid w:val="52C83A7F"/>
    <w:rsid w:val="52E31D12"/>
    <w:rsid w:val="53176E87"/>
    <w:rsid w:val="531930DE"/>
    <w:rsid w:val="532F6D06"/>
    <w:rsid w:val="533920AE"/>
    <w:rsid w:val="534E7AD3"/>
    <w:rsid w:val="537A382D"/>
    <w:rsid w:val="53982AFD"/>
    <w:rsid w:val="53AE40CE"/>
    <w:rsid w:val="53BF452D"/>
    <w:rsid w:val="53CA4C80"/>
    <w:rsid w:val="53DB40A8"/>
    <w:rsid w:val="53DD2D43"/>
    <w:rsid w:val="53E12C76"/>
    <w:rsid w:val="53E67D0C"/>
    <w:rsid w:val="54076DD6"/>
    <w:rsid w:val="540957A8"/>
    <w:rsid w:val="540F4AC1"/>
    <w:rsid w:val="54181E8F"/>
    <w:rsid w:val="542C1497"/>
    <w:rsid w:val="544329F2"/>
    <w:rsid w:val="54554993"/>
    <w:rsid w:val="54690B6A"/>
    <w:rsid w:val="546F6F25"/>
    <w:rsid w:val="547146BE"/>
    <w:rsid w:val="54894563"/>
    <w:rsid w:val="548A4B3B"/>
    <w:rsid w:val="549E1C70"/>
    <w:rsid w:val="54B87025"/>
    <w:rsid w:val="54C47B19"/>
    <w:rsid w:val="54CB4B58"/>
    <w:rsid w:val="54D97871"/>
    <w:rsid w:val="54DC2EBD"/>
    <w:rsid w:val="5511700B"/>
    <w:rsid w:val="552438F8"/>
    <w:rsid w:val="55284354"/>
    <w:rsid w:val="552E25A8"/>
    <w:rsid w:val="552E67FE"/>
    <w:rsid w:val="553F78F2"/>
    <w:rsid w:val="5559638C"/>
    <w:rsid w:val="55691D50"/>
    <w:rsid w:val="55713D4C"/>
    <w:rsid w:val="558F32FF"/>
    <w:rsid w:val="55AE6607"/>
    <w:rsid w:val="55BC7B15"/>
    <w:rsid w:val="55D818D6"/>
    <w:rsid w:val="55F10BEA"/>
    <w:rsid w:val="560E52F8"/>
    <w:rsid w:val="56372AA1"/>
    <w:rsid w:val="563A5E08"/>
    <w:rsid w:val="566566F6"/>
    <w:rsid w:val="56684950"/>
    <w:rsid w:val="56803D1C"/>
    <w:rsid w:val="56870C86"/>
    <w:rsid w:val="568A3A8C"/>
    <w:rsid w:val="56A65531"/>
    <w:rsid w:val="56A96530"/>
    <w:rsid w:val="56BD0B46"/>
    <w:rsid w:val="56D16BEF"/>
    <w:rsid w:val="56F66F9C"/>
    <w:rsid w:val="56F73212"/>
    <w:rsid w:val="56F74430"/>
    <w:rsid w:val="56FD2E64"/>
    <w:rsid w:val="56FD79ED"/>
    <w:rsid w:val="57287E3F"/>
    <w:rsid w:val="572A43B4"/>
    <w:rsid w:val="57315D50"/>
    <w:rsid w:val="57352F0B"/>
    <w:rsid w:val="575F06E8"/>
    <w:rsid w:val="576A0C54"/>
    <w:rsid w:val="577661F6"/>
    <w:rsid w:val="577675F9"/>
    <w:rsid w:val="577A5BFA"/>
    <w:rsid w:val="578810DA"/>
    <w:rsid w:val="578B624D"/>
    <w:rsid w:val="57923D07"/>
    <w:rsid w:val="579E26AC"/>
    <w:rsid w:val="57A23F4A"/>
    <w:rsid w:val="57A71560"/>
    <w:rsid w:val="57BE7514"/>
    <w:rsid w:val="58057578"/>
    <w:rsid w:val="58150177"/>
    <w:rsid w:val="58170A85"/>
    <w:rsid w:val="583152CE"/>
    <w:rsid w:val="583773FE"/>
    <w:rsid w:val="58382B00"/>
    <w:rsid w:val="5853793A"/>
    <w:rsid w:val="58650993"/>
    <w:rsid w:val="58960236"/>
    <w:rsid w:val="58D20ABC"/>
    <w:rsid w:val="58E10AA2"/>
    <w:rsid w:val="58E74DA8"/>
    <w:rsid w:val="58F20F01"/>
    <w:rsid w:val="591470C9"/>
    <w:rsid w:val="59443F75"/>
    <w:rsid w:val="597E73CB"/>
    <w:rsid w:val="59850C60"/>
    <w:rsid w:val="59A246D5"/>
    <w:rsid w:val="59A6161F"/>
    <w:rsid w:val="59B90810"/>
    <w:rsid w:val="59C43E65"/>
    <w:rsid w:val="59DD570D"/>
    <w:rsid w:val="59E50FCB"/>
    <w:rsid w:val="5A172684"/>
    <w:rsid w:val="5A1762FC"/>
    <w:rsid w:val="5A355549"/>
    <w:rsid w:val="5A4F0EF0"/>
    <w:rsid w:val="5A511F75"/>
    <w:rsid w:val="5A7A082C"/>
    <w:rsid w:val="5A9B5608"/>
    <w:rsid w:val="5AA71877"/>
    <w:rsid w:val="5AD26682"/>
    <w:rsid w:val="5AE96D26"/>
    <w:rsid w:val="5AF76E89"/>
    <w:rsid w:val="5AFB7B6B"/>
    <w:rsid w:val="5AFD7565"/>
    <w:rsid w:val="5B3376A8"/>
    <w:rsid w:val="5B3C7E9A"/>
    <w:rsid w:val="5B6F6839"/>
    <w:rsid w:val="5B962018"/>
    <w:rsid w:val="5B9E0ECC"/>
    <w:rsid w:val="5B9E2C7A"/>
    <w:rsid w:val="5BB1778F"/>
    <w:rsid w:val="5BB57FC4"/>
    <w:rsid w:val="5BBA5B93"/>
    <w:rsid w:val="5BBF0415"/>
    <w:rsid w:val="5BC052E6"/>
    <w:rsid w:val="5BCC3C8B"/>
    <w:rsid w:val="5BF46D3E"/>
    <w:rsid w:val="5BF62AB6"/>
    <w:rsid w:val="5C1178F0"/>
    <w:rsid w:val="5C182167"/>
    <w:rsid w:val="5C1B076F"/>
    <w:rsid w:val="5C34123D"/>
    <w:rsid w:val="5C3C4F10"/>
    <w:rsid w:val="5C78171D"/>
    <w:rsid w:val="5C9B551F"/>
    <w:rsid w:val="5C9D3023"/>
    <w:rsid w:val="5CA10FE3"/>
    <w:rsid w:val="5CBA7F20"/>
    <w:rsid w:val="5CBB38DC"/>
    <w:rsid w:val="5CC613FD"/>
    <w:rsid w:val="5CCD0643"/>
    <w:rsid w:val="5CD54DC2"/>
    <w:rsid w:val="5CE40546"/>
    <w:rsid w:val="5CEC6AD7"/>
    <w:rsid w:val="5CF214D0"/>
    <w:rsid w:val="5CF4643D"/>
    <w:rsid w:val="5CF86E16"/>
    <w:rsid w:val="5D4C3EEF"/>
    <w:rsid w:val="5D4E06D0"/>
    <w:rsid w:val="5D6B6D81"/>
    <w:rsid w:val="5D7A3273"/>
    <w:rsid w:val="5D7B5E18"/>
    <w:rsid w:val="5DA479AE"/>
    <w:rsid w:val="5DAC5ABF"/>
    <w:rsid w:val="5DE91432"/>
    <w:rsid w:val="5DF97C6B"/>
    <w:rsid w:val="5E0A0A9B"/>
    <w:rsid w:val="5E0A7F49"/>
    <w:rsid w:val="5E113BD7"/>
    <w:rsid w:val="5E190CDE"/>
    <w:rsid w:val="5E1E62F4"/>
    <w:rsid w:val="5E207BCE"/>
    <w:rsid w:val="5E3BC349"/>
    <w:rsid w:val="5E602469"/>
    <w:rsid w:val="5E74491C"/>
    <w:rsid w:val="5E8E347A"/>
    <w:rsid w:val="5EAC1B52"/>
    <w:rsid w:val="5EAD4983"/>
    <w:rsid w:val="5EB033F0"/>
    <w:rsid w:val="5EC4248F"/>
    <w:rsid w:val="5EC857E1"/>
    <w:rsid w:val="5EC944B2"/>
    <w:rsid w:val="5EDE503B"/>
    <w:rsid w:val="5EE035AA"/>
    <w:rsid w:val="5EE4787F"/>
    <w:rsid w:val="5EEB02AD"/>
    <w:rsid w:val="5EEF6530"/>
    <w:rsid w:val="5EFA7CCD"/>
    <w:rsid w:val="5F013C4C"/>
    <w:rsid w:val="5F0454EA"/>
    <w:rsid w:val="5F0E2ADE"/>
    <w:rsid w:val="5F18691B"/>
    <w:rsid w:val="5F1E2439"/>
    <w:rsid w:val="5F204D91"/>
    <w:rsid w:val="5F226B91"/>
    <w:rsid w:val="5F385194"/>
    <w:rsid w:val="5F572517"/>
    <w:rsid w:val="5F696976"/>
    <w:rsid w:val="5F742670"/>
    <w:rsid w:val="5F88611B"/>
    <w:rsid w:val="5F942E25"/>
    <w:rsid w:val="5F968CE0"/>
    <w:rsid w:val="5FA62E25"/>
    <w:rsid w:val="5FA647F3"/>
    <w:rsid w:val="5FAD5B82"/>
    <w:rsid w:val="5FD41360"/>
    <w:rsid w:val="5FD772CA"/>
    <w:rsid w:val="5FE175D9"/>
    <w:rsid w:val="5FE905A7"/>
    <w:rsid w:val="5FEA46E0"/>
    <w:rsid w:val="5FF9160E"/>
    <w:rsid w:val="60163727"/>
    <w:rsid w:val="60213E7A"/>
    <w:rsid w:val="602E0D6F"/>
    <w:rsid w:val="60362253"/>
    <w:rsid w:val="603E5CF9"/>
    <w:rsid w:val="60593031"/>
    <w:rsid w:val="605E4E8F"/>
    <w:rsid w:val="60687CFB"/>
    <w:rsid w:val="60730B79"/>
    <w:rsid w:val="607F798B"/>
    <w:rsid w:val="60864F5E"/>
    <w:rsid w:val="609B3C2C"/>
    <w:rsid w:val="60AC035C"/>
    <w:rsid w:val="60B46A9C"/>
    <w:rsid w:val="60C018E5"/>
    <w:rsid w:val="60D55390"/>
    <w:rsid w:val="60DB04CD"/>
    <w:rsid w:val="60DC777F"/>
    <w:rsid w:val="60E76E71"/>
    <w:rsid w:val="60ED7300"/>
    <w:rsid w:val="60FF41BB"/>
    <w:rsid w:val="61236240"/>
    <w:rsid w:val="61236768"/>
    <w:rsid w:val="6138591F"/>
    <w:rsid w:val="613A2CBB"/>
    <w:rsid w:val="613C540F"/>
    <w:rsid w:val="61446072"/>
    <w:rsid w:val="614607A4"/>
    <w:rsid w:val="61623561"/>
    <w:rsid w:val="6162474A"/>
    <w:rsid w:val="61687986"/>
    <w:rsid w:val="6190142C"/>
    <w:rsid w:val="619A7746"/>
    <w:rsid w:val="61AF262F"/>
    <w:rsid w:val="61C13B66"/>
    <w:rsid w:val="61C4751D"/>
    <w:rsid w:val="61D73548"/>
    <w:rsid w:val="61D770D4"/>
    <w:rsid w:val="61DB4C28"/>
    <w:rsid w:val="61E355D8"/>
    <w:rsid w:val="62193293"/>
    <w:rsid w:val="621D0CF4"/>
    <w:rsid w:val="62320DDF"/>
    <w:rsid w:val="62377B3C"/>
    <w:rsid w:val="62407F70"/>
    <w:rsid w:val="624D13B0"/>
    <w:rsid w:val="625620E7"/>
    <w:rsid w:val="626128FB"/>
    <w:rsid w:val="62633747"/>
    <w:rsid w:val="626D480B"/>
    <w:rsid w:val="62A57D4F"/>
    <w:rsid w:val="62B463F6"/>
    <w:rsid w:val="62BF00A6"/>
    <w:rsid w:val="62CE0677"/>
    <w:rsid w:val="62E430B4"/>
    <w:rsid w:val="630B15B1"/>
    <w:rsid w:val="6324615B"/>
    <w:rsid w:val="632B12D1"/>
    <w:rsid w:val="635051A2"/>
    <w:rsid w:val="637120F0"/>
    <w:rsid w:val="63747282"/>
    <w:rsid w:val="63827325"/>
    <w:rsid w:val="63865B59"/>
    <w:rsid w:val="638A15FE"/>
    <w:rsid w:val="63B079EF"/>
    <w:rsid w:val="63C35974"/>
    <w:rsid w:val="63CD05A1"/>
    <w:rsid w:val="63EB0A27"/>
    <w:rsid w:val="63FC06D5"/>
    <w:rsid w:val="64144421"/>
    <w:rsid w:val="641E2BAA"/>
    <w:rsid w:val="642D54E3"/>
    <w:rsid w:val="646625F9"/>
    <w:rsid w:val="6497295D"/>
    <w:rsid w:val="64A55079"/>
    <w:rsid w:val="64B74DAD"/>
    <w:rsid w:val="64BF164C"/>
    <w:rsid w:val="64C64FF0"/>
    <w:rsid w:val="64C87B73"/>
    <w:rsid w:val="64CA00A5"/>
    <w:rsid w:val="64DA5F27"/>
    <w:rsid w:val="65182E41"/>
    <w:rsid w:val="651D1CF3"/>
    <w:rsid w:val="654A6159"/>
    <w:rsid w:val="65675D6A"/>
    <w:rsid w:val="657765C3"/>
    <w:rsid w:val="65990C95"/>
    <w:rsid w:val="65BB4C4A"/>
    <w:rsid w:val="65D90ED8"/>
    <w:rsid w:val="65E655AC"/>
    <w:rsid w:val="661A1242"/>
    <w:rsid w:val="6630707C"/>
    <w:rsid w:val="663C13D6"/>
    <w:rsid w:val="66640A97"/>
    <w:rsid w:val="666826A6"/>
    <w:rsid w:val="667271DD"/>
    <w:rsid w:val="66754F1F"/>
    <w:rsid w:val="66925AD1"/>
    <w:rsid w:val="669C06FE"/>
    <w:rsid w:val="66A70DAF"/>
    <w:rsid w:val="66B71094"/>
    <w:rsid w:val="66C23F2F"/>
    <w:rsid w:val="66E2289F"/>
    <w:rsid w:val="67013895"/>
    <w:rsid w:val="672F4A82"/>
    <w:rsid w:val="6739419F"/>
    <w:rsid w:val="67475AC7"/>
    <w:rsid w:val="677C5A4E"/>
    <w:rsid w:val="67961AC6"/>
    <w:rsid w:val="67AC4971"/>
    <w:rsid w:val="67AE61D9"/>
    <w:rsid w:val="67BF37B7"/>
    <w:rsid w:val="67C46D77"/>
    <w:rsid w:val="67D0065F"/>
    <w:rsid w:val="67D758DA"/>
    <w:rsid w:val="67F7B517"/>
    <w:rsid w:val="68035E0F"/>
    <w:rsid w:val="680E73DA"/>
    <w:rsid w:val="68141146"/>
    <w:rsid w:val="68280C74"/>
    <w:rsid w:val="68294213"/>
    <w:rsid w:val="682C252D"/>
    <w:rsid w:val="683706DE"/>
    <w:rsid w:val="683A5F02"/>
    <w:rsid w:val="68554E67"/>
    <w:rsid w:val="68604EFC"/>
    <w:rsid w:val="68692862"/>
    <w:rsid w:val="686B0388"/>
    <w:rsid w:val="686D5EAE"/>
    <w:rsid w:val="68795138"/>
    <w:rsid w:val="687E455F"/>
    <w:rsid w:val="68BC3C6B"/>
    <w:rsid w:val="68CC52CB"/>
    <w:rsid w:val="68DB3760"/>
    <w:rsid w:val="68DC02DD"/>
    <w:rsid w:val="68E944B8"/>
    <w:rsid w:val="68F609A8"/>
    <w:rsid w:val="69154FC0"/>
    <w:rsid w:val="69271A2F"/>
    <w:rsid w:val="693712A3"/>
    <w:rsid w:val="69464848"/>
    <w:rsid w:val="69482D6B"/>
    <w:rsid w:val="69617F7B"/>
    <w:rsid w:val="69877511"/>
    <w:rsid w:val="698A6F34"/>
    <w:rsid w:val="69A47FF6"/>
    <w:rsid w:val="69A578CA"/>
    <w:rsid w:val="69A973BA"/>
    <w:rsid w:val="69BED5BA"/>
    <w:rsid w:val="69CA1C41"/>
    <w:rsid w:val="69F525FF"/>
    <w:rsid w:val="69F745C9"/>
    <w:rsid w:val="6A220F1A"/>
    <w:rsid w:val="6A4D58B0"/>
    <w:rsid w:val="6A595D42"/>
    <w:rsid w:val="6A597D52"/>
    <w:rsid w:val="6A6F7B20"/>
    <w:rsid w:val="6A7A16B8"/>
    <w:rsid w:val="6A7A78EA"/>
    <w:rsid w:val="6A880A51"/>
    <w:rsid w:val="6A9938EA"/>
    <w:rsid w:val="6AAD2EDA"/>
    <w:rsid w:val="6AB06526"/>
    <w:rsid w:val="6AEA5EDC"/>
    <w:rsid w:val="6AF24D91"/>
    <w:rsid w:val="6B016D82"/>
    <w:rsid w:val="6B1E5B86"/>
    <w:rsid w:val="6B455097"/>
    <w:rsid w:val="6B597D12"/>
    <w:rsid w:val="6B652C83"/>
    <w:rsid w:val="6B7403D7"/>
    <w:rsid w:val="6B905205"/>
    <w:rsid w:val="6B9C71E2"/>
    <w:rsid w:val="6BF32B6E"/>
    <w:rsid w:val="6BF43D6E"/>
    <w:rsid w:val="6C0E79A8"/>
    <w:rsid w:val="6C101972"/>
    <w:rsid w:val="6C1A459F"/>
    <w:rsid w:val="6C320B9D"/>
    <w:rsid w:val="6C4279BA"/>
    <w:rsid w:val="6C4B4758"/>
    <w:rsid w:val="6C5A7C87"/>
    <w:rsid w:val="6C617741"/>
    <w:rsid w:val="6C6B6BA9"/>
    <w:rsid w:val="6C705F6D"/>
    <w:rsid w:val="6C7F3298"/>
    <w:rsid w:val="6C975BF0"/>
    <w:rsid w:val="6CAD0F6F"/>
    <w:rsid w:val="6CDF30F3"/>
    <w:rsid w:val="6CEBC43A"/>
    <w:rsid w:val="6CED1CB3"/>
    <w:rsid w:val="6CFD58BC"/>
    <w:rsid w:val="6CFF4699"/>
    <w:rsid w:val="6D0B3EE8"/>
    <w:rsid w:val="6D25144D"/>
    <w:rsid w:val="6D265EDB"/>
    <w:rsid w:val="6D27E568"/>
    <w:rsid w:val="6D4748DD"/>
    <w:rsid w:val="6D543AE1"/>
    <w:rsid w:val="6D6261FE"/>
    <w:rsid w:val="6D655CEE"/>
    <w:rsid w:val="6D6E1594"/>
    <w:rsid w:val="6D7158E3"/>
    <w:rsid w:val="6D7952F5"/>
    <w:rsid w:val="6DAF3CCA"/>
    <w:rsid w:val="6DB8306D"/>
    <w:rsid w:val="6DCE2461"/>
    <w:rsid w:val="6DCF13B9"/>
    <w:rsid w:val="6DD864C0"/>
    <w:rsid w:val="6DF57072"/>
    <w:rsid w:val="6E0330E7"/>
    <w:rsid w:val="6E0F0E5D"/>
    <w:rsid w:val="6E11552E"/>
    <w:rsid w:val="6E153270"/>
    <w:rsid w:val="6E1F47FB"/>
    <w:rsid w:val="6E2C56F2"/>
    <w:rsid w:val="6E3B07FD"/>
    <w:rsid w:val="6E4A77F0"/>
    <w:rsid w:val="6E5024FA"/>
    <w:rsid w:val="6E5F273D"/>
    <w:rsid w:val="6E602011"/>
    <w:rsid w:val="6E8B1784"/>
    <w:rsid w:val="6ED701F9"/>
    <w:rsid w:val="6EF015E7"/>
    <w:rsid w:val="6F0F5686"/>
    <w:rsid w:val="6F101C89"/>
    <w:rsid w:val="6F1522CE"/>
    <w:rsid w:val="6F1A48B6"/>
    <w:rsid w:val="6F320F47"/>
    <w:rsid w:val="6F410095"/>
    <w:rsid w:val="6F5222A2"/>
    <w:rsid w:val="6F76781F"/>
    <w:rsid w:val="6F7FAFA2"/>
    <w:rsid w:val="6FA968FC"/>
    <w:rsid w:val="6FAD74D8"/>
    <w:rsid w:val="6FD14183"/>
    <w:rsid w:val="6FD44A65"/>
    <w:rsid w:val="6FDD577E"/>
    <w:rsid w:val="6FE467DD"/>
    <w:rsid w:val="6FEC1DAE"/>
    <w:rsid w:val="6FF27D18"/>
    <w:rsid w:val="6FF410DA"/>
    <w:rsid w:val="6FFE8ACC"/>
    <w:rsid w:val="700402A0"/>
    <w:rsid w:val="700D50E9"/>
    <w:rsid w:val="701F5422"/>
    <w:rsid w:val="702255DE"/>
    <w:rsid w:val="70262EE1"/>
    <w:rsid w:val="70537195"/>
    <w:rsid w:val="7055204A"/>
    <w:rsid w:val="70666005"/>
    <w:rsid w:val="70725ED5"/>
    <w:rsid w:val="708E25E0"/>
    <w:rsid w:val="708F61C9"/>
    <w:rsid w:val="7094613E"/>
    <w:rsid w:val="709A26FB"/>
    <w:rsid w:val="709A5CAE"/>
    <w:rsid w:val="70B860C8"/>
    <w:rsid w:val="70BF31CD"/>
    <w:rsid w:val="70D34D1C"/>
    <w:rsid w:val="70D80585"/>
    <w:rsid w:val="710E3FA6"/>
    <w:rsid w:val="71265794"/>
    <w:rsid w:val="712D6B22"/>
    <w:rsid w:val="714903DD"/>
    <w:rsid w:val="71516C68"/>
    <w:rsid w:val="716F2C97"/>
    <w:rsid w:val="71830DE0"/>
    <w:rsid w:val="71833BD0"/>
    <w:rsid w:val="718508B1"/>
    <w:rsid w:val="71AF5789"/>
    <w:rsid w:val="71E82A49"/>
    <w:rsid w:val="71F15DA2"/>
    <w:rsid w:val="720A29C0"/>
    <w:rsid w:val="720B7181"/>
    <w:rsid w:val="72137518"/>
    <w:rsid w:val="72174BE6"/>
    <w:rsid w:val="723F4D5F"/>
    <w:rsid w:val="724265FE"/>
    <w:rsid w:val="724F4877"/>
    <w:rsid w:val="72634229"/>
    <w:rsid w:val="72836ABF"/>
    <w:rsid w:val="728C6739"/>
    <w:rsid w:val="729B028A"/>
    <w:rsid w:val="72BD3ED6"/>
    <w:rsid w:val="72DA05E4"/>
    <w:rsid w:val="72EF2133"/>
    <w:rsid w:val="72F316A6"/>
    <w:rsid w:val="72F45AE6"/>
    <w:rsid w:val="72F77B34"/>
    <w:rsid w:val="73011D37"/>
    <w:rsid w:val="73267CCD"/>
    <w:rsid w:val="73610D05"/>
    <w:rsid w:val="736C3208"/>
    <w:rsid w:val="737C5B3F"/>
    <w:rsid w:val="737C78ED"/>
    <w:rsid w:val="737E7D5C"/>
    <w:rsid w:val="738C32BA"/>
    <w:rsid w:val="738E1F2B"/>
    <w:rsid w:val="73CC5BA6"/>
    <w:rsid w:val="73CE5B38"/>
    <w:rsid w:val="73DB1798"/>
    <w:rsid w:val="73EF6311"/>
    <w:rsid w:val="74024791"/>
    <w:rsid w:val="74065ABE"/>
    <w:rsid w:val="741A42CC"/>
    <w:rsid w:val="74716D26"/>
    <w:rsid w:val="749D4072"/>
    <w:rsid w:val="749D5D6D"/>
    <w:rsid w:val="74B530B7"/>
    <w:rsid w:val="75232716"/>
    <w:rsid w:val="75234E7D"/>
    <w:rsid w:val="75336D45"/>
    <w:rsid w:val="753F770E"/>
    <w:rsid w:val="75656A7A"/>
    <w:rsid w:val="75656DE5"/>
    <w:rsid w:val="75AC6170"/>
    <w:rsid w:val="75C51F4F"/>
    <w:rsid w:val="75C537CD"/>
    <w:rsid w:val="75DC28C5"/>
    <w:rsid w:val="75E36F1D"/>
    <w:rsid w:val="760430C9"/>
    <w:rsid w:val="760836BA"/>
    <w:rsid w:val="76157B85"/>
    <w:rsid w:val="76215DBA"/>
    <w:rsid w:val="763B3A90"/>
    <w:rsid w:val="763F2271"/>
    <w:rsid w:val="764E104E"/>
    <w:rsid w:val="765A05FC"/>
    <w:rsid w:val="76816FC9"/>
    <w:rsid w:val="76992564"/>
    <w:rsid w:val="770519A8"/>
    <w:rsid w:val="770FFB77"/>
    <w:rsid w:val="77192074"/>
    <w:rsid w:val="771D2CD8"/>
    <w:rsid w:val="77356731"/>
    <w:rsid w:val="775B697C"/>
    <w:rsid w:val="77640DC4"/>
    <w:rsid w:val="7769744F"/>
    <w:rsid w:val="77752FD1"/>
    <w:rsid w:val="777F74A2"/>
    <w:rsid w:val="779FB329"/>
    <w:rsid w:val="77EF4254"/>
    <w:rsid w:val="77F359A3"/>
    <w:rsid w:val="77FC724F"/>
    <w:rsid w:val="78174463"/>
    <w:rsid w:val="78197E01"/>
    <w:rsid w:val="781F6A99"/>
    <w:rsid w:val="7839241C"/>
    <w:rsid w:val="784F00B3"/>
    <w:rsid w:val="78570929"/>
    <w:rsid w:val="78650950"/>
    <w:rsid w:val="78654DF4"/>
    <w:rsid w:val="787F562B"/>
    <w:rsid w:val="78943D40"/>
    <w:rsid w:val="78A56492"/>
    <w:rsid w:val="78AA6C17"/>
    <w:rsid w:val="78AE679B"/>
    <w:rsid w:val="78B43685"/>
    <w:rsid w:val="78CD4747"/>
    <w:rsid w:val="78D41F79"/>
    <w:rsid w:val="792957BE"/>
    <w:rsid w:val="7931117A"/>
    <w:rsid w:val="79342717"/>
    <w:rsid w:val="79415D1A"/>
    <w:rsid w:val="79464C25"/>
    <w:rsid w:val="795D16E8"/>
    <w:rsid w:val="796055BB"/>
    <w:rsid w:val="796C5D0E"/>
    <w:rsid w:val="79A8143C"/>
    <w:rsid w:val="79B22AB5"/>
    <w:rsid w:val="79CD0EA3"/>
    <w:rsid w:val="79CE6DD0"/>
    <w:rsid w:val="79FEB595"/>
    <w:rsid w:val="7A0903AD"/>
    <w:rsid w:val="7A3C0663"/>
    <w:rsid w:val="7A3E2F83"/>
    <w:rsid w:val="7A526F79"/>
    <w:rsid w:val="7A6D1D3E"/>
    <w:rsid w:val="7A7F674E"/>
    <w:rsid w:val="7A9E283F"/>
    <w:rsid w:val="7AAE6A7B"/>
    <w:rsid w:val="7AB45D3F"/>
    <w:rsid w:val="7AB54304"/>
    <w:rsid w:val="7AB67B89"/>
    <w:rsid w:val="7ACE6EBE"/>
    <w:rsid w:val="7AE446F6"/>
    <w:rsid w:val="7AE75F94"/>
    <w:rsid w:val="7AEA338E"/>
    <w:rsid w:val="7AEC6B63"/>
    <w:rsid w:val="7AF34939"/>
    <w:rsid w:val="7B13EBC2"/>
    <w:rsid w:val="7B2E5971"/>
    <w:rsid w:val="7B3F2C37"/>
    <w:rsid w:val="7B7A0BB6"/>
    <w:rsid w:val="7B890DF9"/>
    <w:rsid w:val="7B89704B"/>
    <w:rsid w:val="7BAB13A7"/>
    <w:rsid w:val="7BAC4AE8"/>
    <w:rsid w:val="7BB06386"/>
    <w:rsid w:val="7BEB45DD"/>
    <w:rsid w:val="7BF30969"/>
    <w:rsid w:val="7BFAE3EC"/>
    <w:rsid w:val="7BFC41D8"/>
    <w:rsid w:val="7BFD26D9"/>
    <w:rsid w:val="7BFEF146"/>
    <w:rsid w:val="7C0E7550"/>
    <w:rsid w:val="7C15268D"/>
    <w:rsid w:val="7C39281F"/>
    <w:rsid w:val="7C3B033C"/>
    <w:rsid w:val="7C501917"/>
    <w:rsid w:val="7C685256"/>
    <w:rsid w:val="7C7C095E"/>
    <w:rsid w:val="7C7F20C4"/>
    <w:rsid w:val="7C80044E"/>
    <w:rsid w:val="7C8969C6"/>
    <w:rsid w:val="7C9A2D3C"/>
    <w:rsid w:val="7CBE3C0B"/>
    <w:rsid w:val="7CCF0E1F"/>
    <w:rsid w:val="7CD542CC"/>
    <w:rsid w:val="7CDEF7E8"/>
    <w:rsid w:val="7CFB7AD5"/>
    <w:rsid w:val="7CFCE98B"/>
    <w:rsid w:val="7CFEA5D1"/>
    <w:rsid w:val="7D180234"/>
    <w:rsid w:val="7D29023E"/>
    <w:rsid w:val="7D2A03BA"/>
    <w:rsid w:val="7D2D1C58"/>
    <w:rsid w:val="7D3461CD"/>
    <w:rsid w:val="7D5B67C5"/>
    <w:rsid w:val="7D633326"/>
    <w:rsid w:val="7D7137F4"/>
    <w:rsid w:val="7D747887"/>
    <w:rsid w:val="7D790907"/>
    <w:rsid w:val="7D7E15C8"/>
    <w:rsid w:val="7D937D0D"/>
    <w:rsid w:val="7DA61FDE"/>
    <w:rsid w:val="7DFF6F54"/>
    <w:rsid w:val="7E005DD3"/>
    <w:rsid w:val="7E123328"/>
    <w:rsid w:val="7E2364DE"/>
    <w:rsid w:val="7E33329E"/>
    <w:rsid w:val="7E4A701D"/>
    <w:rsid w:val="7E6A3164"/>
    <w:rsid w:val="7E6C16AC"/>
    <w:rsid w:val="7E7C4C45"/>
    <w:rsid w:val="7E9A3702"/>
    <w:rsid w:val="7EAB552B"/>
    <w:rsid w:val="7EAD2996"/>
    <w:rsid w:val="7EB025C7"/>
    <w:rsid w:val="7EB4618D"/>
    <w:rsid w:val="7EB919F5"/>
    <w:rsid w:val="7EC44A62"/>
    <w:rsid w:val="7ECA59B1"/>
    <w:rsid w:val="7ED34018"/>
    <w:rsid w:val="7ED71E7C"/>
    <w:rsid w:val="7EDA2321"/>
    <w:rsid w:val="7EFE686F"/>
    <w:rsid w:val="7EFF3797"/>
    <w:rsid w:val="7EFF39F5"/>
    <w:rsid w:val="7F10538E"/>
    <w:rsid w:val="7F19282F"/>
    <w:rsid w:val="7F3F9E7A"/>
    <w:rsid w:val="7F441C68"/>
    <w:rsid w:val="7F460B6E"/>
    <w:rsid w:val="7F6C4CBA"/>
    <w:rsid w:val="7F7D58EC"/>
    <w:rsid w:val="7FA426A6"/>
    <w:rsid w:val="7FB04AAA"/>
    <w:rsid w:val="7FB1288A"/>
    <w:rsid w:val="7FB56661"/>
    <w:rsid w:val="7FBE080D"/>
    <w:rsid w:val="7FBE1C09"/>
    <w:rsid w:val="7FC26472"/>
    <w:rsid w:val="7FD765A6"/>
    <w:rsid w:val="7FDF1E90"/>
    <w:rsid w:val="7FE74340"/>
    <w:rsid w:val="7FE9310A"/>
    <w:rsid w:val="7FF468C7"/>
    <w:rsid w:val="7FF73908"/>
    <w:rsid w:val="7FFC8C28"/>
    <w:rsid w:val="7FFDB0E6"/>
    <w:rsid w:val="7FFEDE4A"/>
    <w:rsid w:val="7FFFD049"/>
    <w:rsid w:val="9B3B3C89"/>
    <w:rsid w:val="9D4B5CFF"/>
    <w:rsid w:val="9EDE559E"/>
    <w:rsid w:val="9FFB1F4E"/>
    <w:rsid w:val="ADE52217"/>
    <w:rsid w:val="ADE93A7B"/>
    <w:rsid w:val="AEEF9592"/>
    <w:rsid w:val="B1FF5FC0"/>
    <w:rsid w:val="BA7B23C6"/>
    <w:rsid w:val="BBFF287E"/>
    <w:rsid w:val="BCBFA7F3"/>
    <w:rsid w:val="BD2F59A1"/>
    <w:rsid w:val="BE8E62AB"/>
    <w:rsid w:val="BFDEFC3B"/>
    <w:rsid w:val="BFF9713A"/>
    <w:rsid w:val="BFFF2233"/>
    <w:rsid w:val="BFFFC7CB"/>
    <w:rsid w:val="C53EDFCF"/>
    <w:rsid w:val="C7EF2B8A"/>
    <w:rsid w:val="C87D3BDA"/>
    <w:rsid w:val="CD7EAE7E"/>
    <w:rsid w:val="CEB4AB93"/>
    <w:rsid w:val="CFFD575D"/>
    <w:rsid w:val="CFFD7E32"/>
    <w:rsid w:val="D53FB160"/>
    <w:rsid w:val="D77B5B49"/>
    <w:rsid w:val="D7F7EC6E"/>
    <w:rsid w:val="D96CD6CE"/>
    <w:rsid w:val="DAEF1C25"/>
    <w:rsid w:val="DDEB3616"/>
    <w:rsid w:val="DF9FAB48"/>
    <w:rsid w:val="DFDBC140"/>
    <w:rsid w:val="DFDF4C4E"/>
    <w:rsid w:val="DFEB5780"/>
    <w:rsid w:val="E7ED126C"/>
    <w:rsid w:val="EEDF8D09"/>
    <w:rsid w:val="EEFBBE98"/>
    <w:rsid w:val="EFEF97CF"/>
    <w:rsid w:val="EFFFF9C0"/>
    <w:rsid w:val="F273DD3C"/>
    <w:rsid w:val="F4BF266F"/>
    <w:rsid w:val="F5DCD6A5"/>
    <w:rsid w:val="F5DF8280"/>
    <w:rsid w:val="F6FFB359"/>
    <w:rsid w:val="F7FD3475"/>
    <w:rsid w:val="F93A9CF2"/>
    <w:rsid w:val="F9CC1778"/>
    <w:rsid w:val="FA3B67C8"/>
    <w:rsid w:val="FBFF0509"/>
    <w:rsid w:val="FDEF08CD"/>
    <w:rsid w:val="FE734873"/>
    <w:rsid w:val="FED3BCB3"/>
    <w:rsid w:val="FEF71010"/>
    <w:rsid w:val="FEFE43F0"/>
    <w:rsid w:val="FF3DAFBF"/>
    <w:rsid w:val="FF790A70"/>
    <w:rsid w:val="FF7BD5DA"/>
    <w:rsid w:val="FFB5539A"/>
    <w:rsid w:val="FFB75353"/>
    <w:rsid w:val="FFBDAB16"/>
    <w:rsid w:val="FFCFD516"/>
    <w:rsid w:val="FFE63920"/>
    <w:rsid w:val="FFFD75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8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82"/>
    <w:qFormat/>
    <w:uiPriority w:val="9"/>
    <w:pPr>
      <w:spacing w:before="120" w:after="120" w:line="360" w:lineRule="auto"/>
      <w:jc w:val="center"/>
      <w:outlineLvl w:val="1"/>
    </w:pPr>
    <w:rPr>
      <w:rFonts w:ascii="Cambria" w:hAnsi="Cambria" w:eastAsia="黑体"/>
      <w:b/>
      <w:bCs/>
      <w:sz w:val="32"/>
      <w:szCs w:val="32"/>
    </w:rPr>
  </w:style>
  <w:style w:type="paragraph" w:styleId="4">
    <w:name w:val="heading 3"/>
    <w:basedOn w:val="1"/>
    <w:next w:val="1"/>
    <w:link w:val="83"/>
    <w:qFormat/>
    <w:uiPriority w:val="9"/>
    <w:pPr>
      <w:keepNext/>
      <w:keepLines/>
      <w:spacing w:before="260" w:after="260" w:line="416" w:lineRule="auto"/>
      <w:outlineLvl w:val="2"/>
    </w:pPr>
    <w:rPr>
      <w:b/>
      <w:bCs/>
      <w:kern w:val="0"/>
      <w:sz w:val="32"/>
      <w:szCs w:val="32"/>
    </w:rPr>
  </w:style>
  <w:style w:type="paragraph" w:styleId="5">
    <w:name w:val="heading 4"/>
    <w:basedOn w:val="1"/>
    <w:next w:val="1"/>
    <w:link w:val="84"/>
    <w:qFormat/>
    <w:uiPriority w:val="9"/>
    <w:pPr>
      <w:keepNext/>
      <w:keepLines/>
      <w:spacing w:before="280" w:after="290" w:line="376" w:lineRule="auto"/>
      <w:outlineLvl w:val="3"/>
    </w:pPr>
    <w:rPr>
      <w:rFonts w:ascii="Cambria" w:hAnsi="Cambria"/>
      <w:b/>
      <w:bCs/>
      <w:sz w:val="28"/>
      <w:szCs w:val="28"/>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Calibri" w:hAnsi="Calibri" w:cs="Calibri"/>
      <w:sz w:val="18"/>
      <w:szCs w:val="18"/>
    </w:rPr>
  </w:style>
  <w:style w:type="paragraph" w:styleId="7">
    <w:name w:val="Document Map"/>
    <w:basedOn w:val="1"/>
    <w:link w:val="85"/>
    <w:unhideWhenUsed/>
    <w:qFormat/>
    <w:uiPriority w:val="99"/>
    <w:rPr>
      <w:rFonts w:ascii="宋体"/>
      <w:kern w:val="0"/>
      <w:sz w:val="18"/>
      <w:szCs w:val="18"/>
    </w:rPr>
  </w:style>
  <w:style w:type="paragraph" w:styleId="8">
    <w:name w:val="annotation text"/>
    <w:basedOn w:val="1"/>
    <w:link w:val="86"/>
    <w:unhideWhenUsed/>
    <w:qFormat/>
    <w:uiPriority w:val="99"/>
    <w:pPr>
      <w:jc w:val="left"/>
    </w:pPr>
  </w:style>
  <w:style w:type="paragraph" w:styleId="9">
    <w:name w:val="Body Text"/>
    <w:basedOn w:val="1"/>
    <w:link w:val="87"/>
    <w:unhideWhenUsed/>
    <w:qFormat/>
    <w:uiPriority w:val="99"/>
    <w:pPr>
      <w:widowControl/>
      <w:spacing w:after="120" w:line="276" w:lineRule="auto"/>
      <w:jc w:val="left"/>
    </w:pPr>
    <w:rPr>
      <w:rFonts w:ascii="微软雅黑" w:hAnsi="微软雅黑" w:eastAsia="微软雅黑"/>
      <w:kern w:val="0"/>
      <w:sz w:val="22"/>
      <w:szCs w:val="22"/>
      <w:lang w:eastAsia="en-US"/>
    </w:rPr>
  </w:style>
  <w:style w:type="paragraph" w:styleId="10">
    <w:name w:val="Body Text Indent"/>
    <w:basedOn w:val="1"/>
    <w:qFormat/>
    <w:uiPriority w:val="99"/>
    <w:pPr>
      <w:spacing w:after="120"/>
      <w:ind w:left="420" w:leftChars="200"/>
    </w:pPr>
  </w:style>
  <w:style w:type="paragraph" w:styleId="11">
    <w:name w:val="toc 5"/>
    <w:basedOn w:val="1"/>
    <w:next w:val="1"/>
    <w:unhideWhenUsed/>
    <w:qFormat/>
    <w:uiPriority w:val="39"/>
    <w:pPr>
      <w:ind w:left="840"/>
      <w:jc w:val="left"/>
    </w:pPr>
    <w:rPr>
      <w:rFonts w:ascii="Calibri" w:hAnsi="Calibri" w:cs="Calibri"/>
      <w:sz w:val="18"/>
      <w:szCs w:val="18"/>
    </w:rPr>
  </w:style>
  <w:style w:type="paragraph" w:styleId="12">
    <w:name w:val="toc 3"/>
    <w:basedOn w:val="1"/>
    <w:next w:val="1"/>
    <w:unhideWhenUsed/>
    <w:qFormat/>
    <w:uiPriority w:val="39"/>
    <w:pPr>
      <w:ind w:left="420"/>
      <w:jc w:val="left"/>
    </w:pPr>
    <w:rPr>
      <w:rFonts w:ascii="Calibri" w:hAnsi="Calibri" w:cs="Calibri"/>
      <w:i/>
      <w:iCs/>
      <w:sz w:val="20"/>
      <w:szCs w:val="20"/>
    </w:rPr>
  </w:style>
  <w:style w:type="paragraph" w:styleId="13">
    <w:name w:val="toc 8"/>
    <w:basedOn w:val="1"/>
    <w:next w:val="1"/>
    <w:unhideWhenUsed/>
    <w:qFormat/>
    <w:uiPriority w:val="39"/>
    <w:pPr>
      <w:ind w:left="1470"/>
      <w:jc w:val="left"/>
    </w:pPr>
    <w:rPr>
      <w:rFonts w:ascii="Calibri" w:hAnsi="Calibri" w:cs="Calibri"/>
      <w:sz w:val="18"/>
      <w:szCs w:val="18"/>
    </w:rPr>
  </w:style>
  <w:style w:type="paragraph" w:styleId="14">
    <w:name w:val="endnote text"/>
    <w:basedOn w:val="1"/>
    <w:link w:val="88"/>
    <w:unhideWhenUsed/>
    <w:qFormat/>
    <w:uiPriority w:val="99"/>
    <w:pPr>
      <w:snapToGrid w:val="0"/>
      <w:jc w:val="left"/>
    </w:pPr>
  </w:style>
  <w:style w:type="paragraph" w:styleId="15">
    <w:name w:val="Balloon Text"/>
    <w:basedOn w:val="1"/>
    <w:link w:val="89"/>
    <w:unhideWhenUsed/>
    <w:qFormat/>
    <w:uiPriority w:val="99"/>
    <w:rPr>
      <w:kern w:val="0"/>
      <w:sz w:val="18"/>
      <w:szCs w:val="18"/>
    </w:rPr>
  </w:style>
  <w:style w:type="paragraph" w:styleId="16">
    <w:name w:val="footer"/>
    <w:basedOn w:val="1"/>
    <w:link w:val="90"/>
    <w:unhideWhenUsed/>
    <w:qFormat/>
    <w:uiPriority w:val="99"/>
    <w:pPr>
      <w:tabs>
        <w:tab w:val="center" w:pos="4153"/>
        <w:tab w:val="right" w:pos="8306"/>
      </w:tabs>
      <w:snapToGrid w:val="0"/>
      <w:jc w:val="left"/>
    </w:pPr>
    <w:rPr>
      <w:kern w:val="0"/>
      <w:sz w:val="18"/>
      <w:szCs w:val="18"/>
    </w:rPr>
  </w:style>
  <w:style w:type="paragraph" w:styleId="17">
    <w:name w:val="header"/>
    <w:basedOn w:val="1"/>
    <w:link w:val="9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39"/>
    <w:pPr>
      <w:spacing w:before="120" w:after="120"/>
      <w:jc w:val="left"/>
    </w:pPr>
    <w:rPr>
      <w:rFonts w:ascii="Calibri" w:hAnsi="Calibri" w:cs="Calibri"/>
      <w:b/>
      <w:bCs/>
      <w:caps/>
      <w:sz w:val="20"/>
      <w:szCs w:val="20"/>
    </w:rPr>
  </w:style>
  <w:style w:type="paragraph" w:styleId="19">
    <w:name w:val="toc 4"/>
    <w:basedOn w:val="1"/>
    <w:next w:val="1"/>
    <w:unhideWhenUsed/>
    <w:qFormat/>
    <w:uiPriority w:val="39"/>
    <w:pPr>
      <w:ind w:left="630"/>
      <w:jc w:val="left"/>
    </w:pPr>
    <w:rPr>
      <w:rFonts w:ascii="Calibri" w:hAnsi="Calibri" w:cs="Calibri"/>
      <w:sz w:val="18"/>
      <w:szCs w:val="18"/>
    </w:rPr>
  </w:style>
  <w:style w:type="paragraph" w:styleId="20">
    <w:name w:val="footnote text"/>
    <w:basedOn w:val="1"/>
    <w:link w:val="92"/>
    <w:unhideWhenUsed/>
    <w:qFormat/>
    <w:uiPriority w:val="99"/>
    <w:pPr>
      <w:snapToGrid w:val="0"/>
      <w:jc w:val="left"/>
    </w:pPr>
    <w:rPr>
      <w:sz w:val="18"/>
      <w:szCs w:val="18"/>
    </w:rPr>
  </w:style>
  <w:style w:type="paragraph" w:styleId="21">
    <w:name w:val="toc 6"/>
    <w:basedOn w:val="1"/>
    <w:next w:val="1"/>
    <w:unhideWhenUsed/>
    <w:qFormat/>
    <w:uiPriority w:val="39"/>
    <w:pPr>
      <w:ind w:left="1050"/>
      <w:jc w:val="left"/>
    </w:pPr>
    <w:rPr>
      <w:rFonts w:ascii="Calibri" w:hAnsi="Calibri" w:cs="Calibri"/>
      <w:sz w:val="18"/>
      <w:szCs w:val="18"/>
    </w:rPr>
  </w:style>
  <w:style w:type="paragraph" w:styleId="22">
    <w:name w:val="toc 2"/>
    <w:basedOn w:val="1"/>
    <w:next w:val="1"/>
    <w:qFormat/>
    <w:uiPriority w:val="39"/>
    <w:pPr>
      <w:ind w:left="210"/>
      <w:jc w:val="left"/>
    </w:pPr>
    <w:rPr>
      <w:rFonts w:ascii="Calibri" w:hAnsi="Calibri" w:cs="Calibri"/>
      <w:smallCaps/>
      <w:sz w:val="20"/>
      <w:szCs w:val="20"/>
    </w:rPr>
  </w:style>
  <w:style w:type="paragraph" w:styleId="23">
    <w:name w:val="toc 9"/>
    <w:basedOn w:val="1"/>
    <w:next w:val="1"/>
    <w:unhideWhenUsed/>
    <w:qFormat/>
    <w:uiPriority w:val="39"/>
    <w:pPr>
      <w:ind w:left="1680"/>
      <w:jc w:val="left"/>
    </w:pPr>
    <w:rPr>
      <w:rFonts w:ascii="Calibri" w:hAnsi="Calibri" w:cs="Calibri"/>
      <w:sz w:val="18"/>
      <w:szCs w:val="18"/>
    </w:rPr>
  </w:style>
  <w:style w:type="paragraph" w:styleId="2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unhideWhenUsed/>
    <w:qFormat/>
    <w:uiPriority w:val="0"/>
    <w:pPr>
      <w:widowControl/>
      <w:spacing w:before="100" w:beforeAutospacing="1" w:after="100" w:afterAutospacing="1"/>
      <w:ind w:firstLine="200" w:firstLineChars="200"/>
      <w:jc w:val="left"/>
    </w:pPr>
    <w:rPr>
      <w:rFonts w:ascii="宋体" w:hAnsi="宋体" w:cs="宋体"/>
      <w:kern w:val="0"/>
      <w:sz w:val="24"/>
      <w:szCs w:val="24"/>
    </w:rPr>
  </w:style>
  <w:style w:type="paragraph" w:styleId="26">
    <w:name w:val="annotation subject"/>
    <w:basedOn w:val="8"/>
    <w:next w:val="8"/>
    <w:link w:val="93"/>
    <w:unhideWhenUsed/>
    <w:qFormat/>
    <w:uiPriority w:val="99"/>
    <w:rPr>
      <w:b/>
      <w:bCs/>
    </w:rPr>
  </w:style>
  <w:style w:type="paragraph" w:styleId="27">
    <w:name w:val="Body Text First Indent 2"/>
    <w:basedOn w:val="10"/>
    <w:unhideWhenUsed/>
    <w:qFormat/>
    <w:uiPriority w:val="99"/>
    <w:pPr>
      <w:ind w:firstLine="420"/>
    </w:pPr>
  </w:style>
  <w:style w:type="table" w:styleId="29">
    <w:name w:val="Table Grid"/>
    <w:basedOn w:val="2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Strong"/>
    <w:qFormat/>
    <w:uiPriority w:val="22"/>
    <w:rPr>
      <w:b/>
      <w:bCs/>
    </w:rPr>
  </w:style>
  <w:style w:type="character" w:styleId="32">
    <w:name w:val="endnote reference"/>
    <w:unhideWhenUsed/>
    <w:qFormat/>
    <w:uiPriority w:val="99"/>
    <w:rPr>
      <w:vertAlign w:val="superscript"/>
    </w:rPr>
  </w:style>
  <w:style w:type="character" w:styleId="33">
    <w:name w:val="FollowedHyperlink"/>
    <w:unhideWhenUsed/>
    <w:qFormat/>
    <w:uiPriority w:val="99"/>
    <w:rPr>
      <w:color w:val="333333"/>
      <w:u w:val="none"/>
    </w:rPr>
  </w:style>
  <w:style w:type="character" w:styleId="34">
    <w:name w:val="Emphasis"/>
    <w:qFormat/>
    <w:uiPriority w:val="20"/>
    <w:rPr>
      <w:i/>
    </w:rPr>
  </w:style>
  <w:style w:type="character" w:styleId="35">
    <w:name w:val="Hyperlink"/>
    <w:qFormat/>
    <w:uiPriority w:val="99"/>
    <w:rPr>
      <w:rFonts w:cs="Times New Roman"/>
      <w:color w:val="0000FF"/>
      <w:u w:val="single"/>
    </w:rPr>
  </w:style>
  <w:style w:type="character" w:styleId="36">
    <w:name w:val="annotation reference"/>
    <w:unhideWhenUsed/>
    <w:qFormat/>
    <w:uiPriority w:val="99"/>
    <w:rPr>
      <w:sz w:val="21"/>
      <w:szCs w:val="21"/>
    </w:rPr>
  </w:style>
  <w:style w:type="character" w:styleId="37">
    <w:name w:val="footnote reference"/>
    <w:unhideWhenUsed/>
    <w:qFormat/>
    <w:uiPriority w:val="99"/>
    <w:rPr>
      <w:vertAlign w:val="superscript"/>
    </w:rPr>
  </w:style>
  <w:style w:type="paragraph" w:customStyle="1" w:styleId="38">
    <w:name w:val="正文-公1"/>
    <w:basedOn w:val="1"/>
    <w:qFormat/>
    <w:uiPriority w:val="0"/>
    <w:pPr>
      <w:ind w:firstLine="200" w:firstLineChars="200"/>
    </w:pPr>
    <w:rPr>
      <w:rFonts w:ascii="Calibri" w:hAnsi="Calibri" w:cs="Calibri"/>
      <w:color w:val="000000"/>
      <w:szCs w:val="21"/>
    </w:rPr>
  </w:style>
  <w:style w:type="paragraph" w:styleId="39">
    <w:name w:val="List Paragraph"/>
    <w:basedOn w:val="1"/>
    <w:qFormat/>
    <w:uiPriority w:val="34"/>
    <w:pPr>
      <w:ind w:firstLine="420" w:firstLineChars="200"/>
    </w:pPr>
  </w:style>
  <w:style w:type="paragraph" w:customStyle="1" w:styleId="40">
    <w:name w:val="Char1 Char Char Char Char Char Char"/>
    <w:basedOn w:val="1"/>
    <w:qFormat/>
    <w:uiPriority w:val="0"/>
    <w:rPr>
      <w:rFonts w:ascii="Tahoma" w:hAnsi="Tahoma"/>
      <w:sz w:val="24"/>
      <w:szCs w:val="20"/>
    </w:rPr>
  </w:style>
  <w:style w:type="paragraph" w:customStyle="1" w:styleId="41">
    <w:name w:val="Char1 Char Char Char Char Char Char1"/>
    <w:basedOn w:val="1"/>
    <w:qFormat/>
    <w:uiPriority w:val="0"/>
    <w:rPr>
      <w:rFonts w:ascii="Tahoma" w:hAnsi="Tahoma"/>
      <w:sz w:val="24"/>
      <w:szCs w:val="20"/>
    </w:rPr>
  </w:style>
  <w:style w:type="paragraph" w:customStyle="1" w:styleId="42">
    <w:name w:val="Char1 Char Char Char Char Char Char2"/>
    <w:basedOn w:val="1"/>
    <w:qFormat/>
    <w:uiPriority w:val="0"/>
    <w:rPr>
      <w:rFonts w:ascii="Tahoma" w:hAnsi="Tahoma"/>
      <w:sz w:val="24"/>
      <w:szCs w:val="20"/>
    </w:rPr>
  </w:style>
  <w:style w:type="paragraph" w:customStyle="1" w:styleId="43">
    <w:name w:val="Char1 Char Char Char Char Char Char3"/>
    <w:basedOn w:val="1"/>
    <w:qFormat/>
    <w:uiPriority w:val="0"/>
    <w:rPr>
      <w:rFonts w:ascii="Tahoma" w:hAnsi="Tahoma"/>
      <w:sz w:val="24"/>
      <w:szCs w:val="20"/>
    </w:rPr>
  </w:style>
  <w:style w:type="paragraph" w:customStyle="1" w:styleId="44">
    <w:name w:val="Char1 Char Char Char Char Char Char4"/>
    <w:basedOn w:val="1"/>
    <w:qFormat/>
    <w:uiPriority w:val="0"/>
    <w:rPr>
      <w:rFonts w:ascii="Tahoma" w:hAnsi="Tahoma"/>
      <w:sz w:val="24"/>
      <w:szCs w:val="20"/>
    </w:rPr>
  </w:style>
  <w:style w:type="paragraph" w:customStyle="1" w:styleId="45">
    <w:name w:val="Char1 Char Char Char Char Char Char5"/>
    <w:basedOn w:val="1"/>
    <w:qFormat/>
    <w:uiPriority w:val="0"/>
    <w:rPr>
      <w:rFonts w:ascii="Tahoma" w:hAnsi="Tahoma"/>
      <w:sz w:val="24"/>
      <w:szCs w:val="20"/>
    </w:rPr>
  </w:style>
  <w:style w:type="paragraph" w:customStyle="1" w:styleId="46">
    <w:name w:val="Char1 Char Char Char Char Char Char6"/>
    <w:basedOn w:val="1"/>
    <w:qFormat/>
    <w:uiPriority w:val="0"/>
    <w:rPr>
      <w:rFonts w:ascii="Tahoma" w:hAnsi="Tahoma"/>
      <w:sz w:val="24"/>
      <w:szCs w:val="20"/>
    </w:rPr>
  </w:style>
  <w:style w:type="paragraph" w:customStyle="1" w:styleId="47">
    <w:name w:val="三级标题"/>
    <w:basedOn w:val="1"/>
    <w:link w:val="94"/>
    <w:qFormat/>
    <w:uiPriority w:val="0"/>
    <w:pPr>
      <w:ind w:firstLine="643" w:firstLineChars="200"/>
    </w:pPr>
    <w:rPr>
      <w:rFonts w:ascii="仿宋" w:hAnsi="仿宋" w:eastAsia="仿宋"/>
      <w:b/>
      <w:kern w:val="0"/>
      <w:sz w:val="32"/>
      <w:szCs w:val="32"/>
    </w:rPr>
  </w:style>
  <w:style w:type="paragraph" w:customStyle="1" w:styleId="4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49">
    <w:name w:val="p0"/>
    <w:basedOn w:val="1"/>
    <w:qFormat/>
    <w:uiPriority w:val="99"/>
    <w:pPr>
      <w:widowControl/>
    </w:pPr>
    <w:rPr>
      <w:rFonts w:ascii="Calibri" w:hAnsi="Calibri"/>
      <w:color w:val="000000"/>
      <w:kern w:val="0"/>
      <w:sz w:val="32"/>
      <w:szCs w:val="22"/>
    </w:rPr>
  </w:style>
  <w:style w:type="paragraph" w:customStyle="1" w:styleId="5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1">
    <w:name w:val="font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2">
    <w:name w:val="font7"/>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53">
    <w:name w:val="font8"/>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5">
    <w:name w:val="注释"/>
    <w:qFormat/>
    <w:uiPriority w:val="0"/>
    <w:pPr>
      <w:spacing w:afterLines="50"/>
    </w:pPr>
    <w:rPr>
      <w:rFonts w:ascii="仿宋" w:hAnsi="Calibri" w:eastAsia="仿宋" w:cs="Times New Roman"/>
      <w:kern w:val="2"/>
      <w:sz w:val="24"/>
      <w:szCs w:val="22"/>
      <w:lang w:val="en-US" w:eastAsia="zh-CN" w:bidi="ar-SA"/>
    </w:rPr>
  </w:style>
  <w:style w:type="paragraph" w:customStyle="1" w:styleId="66">
    <w:name w:val="Char"/>
    <w:basedOn w:val="1"/>
    <w:qFormat/>
    <w:uiPriority w:val="0"/>
    <w:pPr>
      <w:widowControl/>
      <w:spacing w:after="160" w:line="240" w:lineRule="exact"/>
      <w:jc w:val="left"/>
    </w:pPr>
    <w:rPr>
      <w:rFonts w:ascii="Verdana" w:hAnsi="Verdana" w:cs="Calibri"/>
      <w:kern w:val="0"/>
      <w:sz w:val="20"/>
      <w:szCs w:val="20"/>
      <w:lang w:eastAsia="en-US"/>
    </w:rPr>
  </w:style>
  <w:style w:type="paragraph" w:customStyle="1" w:styleId="67">
    <w:name w:val="表格"/>
    <w:basedOn w:val="1"/>
    <w:qFormat/>
    <w:uiPriority w:val="0"/>
    <w:pPr>
      <w:jc w:val="center"/>
    </w:pPr>
    <w:rPr>
      <w:rFonts w:eastAsia="楷体"/>
      <w:szCs w:val="18"/>
    </w:rPr>
  </w:style>
  <w:style w:type="paragraph" w:customStyle="1" w:styleId="68">
    <w:name w:val="Table of contents|1"/>
    <w:basedOn w:val="1"/>
    <w:qFormat/>
    <w:uiPriority w:val="0"/>
    <w:pPr>
      <w:spacing w:line="317" w:lineRule="exact"/>
      <w:ind w:firstLine="640"/>
    </w:pPr>
    <w:rPr>
      <w:rFonts w:ascii="宋体" w:hAnsi="宋体" w:cs="宋体"/>
      <w:sz w:val="20"/>
      <w:szCs w:val="20"/>
      <w:lang w:val="zh-TW" w:eastAsia="zh-TW" w:bidi="zh-TW"/>
    </w:rPr>
  </w:style>
  <w:style w:type="paragraph" w:customStyle="1" w:styleId="69">
    <w:name w:val="Body text|2"/>
    <w:basedOn w:val="1"/>
    <w:qFormat/>
    <w:uiPriority w:val="0"/>
    <w:pPr>
      <w:spacing w:line="309" w:lineRule="exact"/>
      <w:ind w:firstLine="630"/>
    </w:pPr>
    <w:rPr>
      <w:rFonts w:ascii="宋体" w:hAnsi="宋体" w:cs="宋体"/>
      <w:sz w:val="20"/>
      <w:szCs w:val="20"/>
      <w:lang w:val="zh-TW" w:eastAsia="zh-TW" w:bidi="zh-TW"/>
    </w:rPr>
  </w:style>
  <w:style w:type="paragraph" w:customStyle="1" w:styleId="70">
    <w:name w:val="Body text|1"/>
    <w:basedOn w:val="1"/>
    <w:qFormat/>
    <w:uiPriority w:val="0"/>
    <w:pPr>
      <w:spacing w:line="377" w:lineRule="auto"/>
      <w:ind w:firstLine="400"/>
    </w:pPr>
    <w:rPr>
      <w:rFonts w:ascii="宋体" w:hAnsi="宋体" w:cs="宋体"/>
      <w:sz w:val="30"/>
      <w:szCs w:val="30"/>
      <w:lang w:val="zh-TW" w:eastAsia="zh-TW" w:bidi="zh-TW"/>
    </w:rPr>
  </w:style>
  <w:style w:type="paragraph" w:customStyle="1" w:styleId="71">
    <w:name w:val="xl66"/>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2">
    <w:name w:val="xl6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7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7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4"/>
      <w:szCs w:val="24"/>
    </w:rPr>
  </w:style>
  <w:style w:type="paragraph" w:customStyle="1" w:styleId="79">
    <w:name w:val="正文（本文）"/>
    <w:basedOn w:val="1"/>
    <w:qFormat/>
    <w:uiPriority w:val="0"/>
    <w:pPr>
      <w:spacing w:afterLines="0" w:line="360" w:lineRule="auto"/>
      <w:ind w:firstLine="200" w:firstLineChars="200"/>
    </w:pPr>
    <w:rPr>
      <w:rFonts w:ascii="宋体" w:hAnsi="宋体" w:cs="Times New Roman"/>
      <w:sz w:val="24"/>
    </w:rPr>
  </w:style>
  <w:style w:type="paragraph" w:customStyle="1" w:styleId="80">
    <w:name w:val="样式 四号 加粗 段前: 5 磅 段后: 5 磅 行距: 1.5 倍行距 首行缩进:  2 字符"/>
    <w:basedOn w:val="1"/>
    <w:qFormat/>
    <w:uiPriority w:val="0"/>
    <w:pPr>
      <w:spacing w:line="360" w:lineRule="auto"/>
      <w:ind w:firstLine="200" w:firstLineChars="200"/>
    </w:pPr>
    <w:rPr>
      <w:rFonts w:cs="宋体"/>
      <w:b/>
      <w:bCs/>
      <w:sz w:val="28"/>
      <w:szCs w:val="20"/>
    </w:rPr>
  </w:style>
  <w:style w:type="character" w:customStyle="1" w:styleId="81">
    <w:name w:val="标题 1 字符"/>
    <w:link w:val="2"/>
    <w:qFormat/>
    <w:uiPriority w:val="9"/>
    <w:rPr>
      <w:rFonts w:ascii="Times New Roman" w:hAnsi="Times New Roman" w:eastAsia="宋体" w:cs="Times New Roman"/>
      <w:b/>
      <w:bCs/>
      <w:kern w:val="44"/>
      <w:sz w:val="44"/>
      <w:szCs w:val="44"/>
    </w:rPr>
  </w:style>
  <w:style w:type="character" w:customStyle="1" w:styleId="82">
    <w:name w:val="标题 2 字符"/>
    <w:link w:val="3"/>
    <w:qFormat/>
    <w:uiPriority w:val="9"/>
    <w:rPr>
      <w:rFonts w:ascii="Cambria" w:hAnsi="Cambria" w:eastAsia="黑体" w:cs="Times New Roman"/>
      <w:b/>
      <w:bCs/>
      <w:kern w:val="2"/>
      <w:sz w:val="32"/>
      <w:szCs w:val="32"/>
    </w:rPr>
  </w:style>
  <w:style w:type="character" w:customStyle="1" w:styleId="83">
    <w:name w:val="标题 3 字符"/>
    <w:link w:val="4"/>
    <w:qFormat/>
    <w:uiPriority w:val="9"/>
    <w:rPr>
      <w:rFonts w:ascii="Times New Roman" w:hAnsi="Times New Roman" w:eastAsia="宋体" w:cs="Times New Roman"/>
      <w:b/>
      <w:bCs/>
      <w:sz w:val="32"/>
      <w:szCs w:val="32"/>
    </w:rPr>
  </w:style>
  <w:style w:type="character" w:customStyle="1" w:styleId="84">
    <w:name w:val="标题 4 字符"/>
    <w:link w:val="5"/>
    <w:semiHidden/>
    <w:qFormat/>
    <w:uiPriority w:val="9"/>
    <w:rPr>
      <w:rFonts w:ascii="Cambria" w:hAnsi="Cambria" w:eastAsia="宋体" w:cs="Times New Roman"/>
      <w:b/>
      <w:bCs/>
      <w:kern w:val="2"/>
      <w:sz w:val="28"/>
      <w:szCs w:val="28"/>
    </w:rPr>
  </w:style>
  <w:style w:type="character" w:customStyle="1" w:styleId="85">
    <w:name w:val="文档结构图 字符"/>
    <w:link w:val="7"/>
    <w:semiHidden/>
    <w:qFormat/>
    <w:uiPriority w:val="99"/>
    <w:rPr>
      <w:rFonts w:ascii="宋体" w:hAnsi="Times New Roman" w:eastAsia="宋体" w:cs="Times New Roman"/>
      <w:sz w:val="18"/>
      <w:szCs w:val="18"/>
    </w:rPr>
  </w:style>
  <w:style w:type="character" w:customStyle="1" w:styleId="86">
    <w:name w:val="批注文字 字符"/>
    <w:link w:val="8"/>
    <w:semiHidden/>
    <w:qFormat/>
    <w:uiPriority w:val="99"/>
    <w:rPr>
      <w:kern w:val="2"/>
      <w:sz w:val="21"/>
      <w:szCs w:val="21"/>
    </w:rPr>
  </w:style>
  <w:style w:type="character" w:customStyle="1" w:styleId="87">
    <w:name w:val="正文文本 字符"/>
    <w:link w:val="9"/>
    <w:qFormat/>
    <w:uiPriority w:val="99"/>
    <w:rPr>
      <w:rFonts w:ascii="微软雅黑" w:hAnsi="微软雅黑" w:eastAsia="微软雅黑" w:cs="Times New Roman"/>
      <w:sz w:val="22"/>
      <w:szCs w:val="22"/>
      <w:lang w:eastAsia="en-US"/>
    </w:rPr>
  </w:style>
  <w:style w:type="character" w:customStyle="1" w:styleId="88">
    <w:name w:val="尾注文本 字符"/>
    <w:link w:val="14"/>
    <w:semiHidden/>
    <w:qFormat/>
    <w:uiPriority w:val="99"/>
    <w:rPr>
      <w:kern w:val="2"/>
      <w:sz w:val="21"/>
      <w:szCs w:val="21"/>
    </w:rPr>
  </w:style>
  <w:style w:type="character" w:customStyle="1" w:styleId="89">
    <w:name w:val="批注框文本 字符"/>
    <w:link w:val="15"/>
    <w:semiHidden/>
    <w:qFormat/>
    <w:uiPriority w:val="99"/>
    <w:rPr>
      <w:rFonts w:ascii="Times New Roman" w:hAnsi="Times New Roman" w:eastAsia="宋体" w:cs="Times New Roman"/>
      <w:sz w:val="18"/>
      <w:szCs w:val="18"/>
    </w:rPr>
  </w:style>
  <w:style w:type="character" w:customStyle="1" w:styleId="90">
    <w:name w:val="页脚 字符"/>
    <w:link w:val="16"/>
    <w:qFormat/>
    <w:uiPriority w:val="99"/>
    <w:rPr>
      <w:rFonts w:ascii="Times New Roman" w:hAnsi="Times New Roman" w:eastAsia="宋体" w:cs="Times New Roman"/>
      <w:sz w:val="18"/>
      <w:szCs w:val="18"/>
    </w:rPr>
  </w:style>
  <w:style w:type="character" w:customStyle="1" w:styleId="91">
    <w:name w:val="页眉 字符"/>
    <w:link w:val="17"/>
    <w:qFormat/>
    <w:uiPriority w:val="99"/>
    <w:rPr>
      <w:rFonts w:ascii="Times New Roman" w:hAnsi="Times New Roman" w:eastAsia="宋体" w:cs="Times New Roman"/>
      <w:sz w:val="18"/>
      <w:szCs w:val="18"/>
    </w:rPr>
  </w:style>
  <w:style w:type="character" w:customStyle="1" w:styleId="92">
    <w:name w:val="脚注文本 字符"/>
    <w:link w:val="20"/>
    <w:semiHidden/>
    <w:qFormat/>
    <w:uiPriority w:val="99"/>
    <w:rPr>
      <w:kern w:val="2"/>
      <w:sz w:val="18"/>
      <w:szCs w:val="18"/>
    </w:rPr>
  </w:style>
  <w:style w:type="character" w:customStyle="1" w:styleId="93">
    <w:name w:val="批注主题 字符"/>
    <w:link w:val="26"/>
    <w:semiHidden/>
    <w:qFormat/>
    <w:uiPriority w:val="99"/>
    <w:rPr>
      <w:b/>
      <w:bCs/>
      <w:kern w:val="2"/>
      <w:sz w:val="21"/>
      <w:szCs w:val="21"/>
    </w:rPr>
  </w:style>
  <w:style w:type="character" w:customStyle="1" w:styleId="94">
    <w:name w:val="三级标题 Char"/>
    <w:link w:val="47"/>
    <w:qFormat/>
    <w:uiPriority w:val="0"/>
    <w:rPr>
      <w:rFonts w:ascii="仿宋" w:hAnsi="仿宋" w:eastAsia="仿宋"/>
      <w:b/>
      <w:sz w:val="32"/>
      <w:szCs w:val="32"/>
    </w:rPr>
  </w:style>
  <w:style w:type="character" w:customStyle="1" w:styleId="95">
    <w:name w:val="明显强调1"/>
    <w:qFormat/>
    <w:uiPriority w:val="21"/>
    <w:rPr>
      <w:b/>
      <w:bCs/>
      <w:i/>
      <w:iCs/>
      <w:color w:val="4F81BD"/>
    </w:rPr>
  </w:style>
  <w:style w:type="character" w:customStyle="1" w:styleId="96">
    <w:name w:val="bjh-p"/>
    <w:qFormat/>
    <w:uiPriority w:val="0"/>
  </w:style>
  <w:style w:type="character" w:customStyle="1" w:styleId="97">
    <w:name w:val="before"/>
    <w:qFormat/>
    <w:uiPriority w:val="0"/>
  </w:style>
  <w:style w:type="character" w:customStyle="1" w:styleId="98">
    <w:name w:val="origin"/>
    <w:qFormat/>
    <w:uiPriority w:val="0"/>
  </w:style>
  <w:style w:type="character" w:customStyle="1" w:styleId="99">
    <w:name w:val="tj"/>
    <w:qFormat/>
    <w:uiPriority w:val="0"/>
    <w:rPr>
      <w:color w:val="FFFFFF"/>
      <w:sz w:val="16"/>
      <w:szCs w:val="16"/>
      <w:shd w:val="clear" w:color="auto" w:fill="348CEC"/>
    </w:rPr>
  </w:style>
  <w:style w:type="character" w:customStyle="1" w:styleId="100">
    <w:name w:val="lb-right"/>
    <w:qFormat/>
    <w:uiPriority w:val="0"/>
  </w:style>
  <w:style w:type="character" w:customStyle="1" w:styleId="101">
    <w:name w:val="lb-left"/>
    <w:qFormat/>
    <w:uiPriority w:val="0"/>
  </w:style>
  <w:style w:type="character" w:customStyle="1" w:styleId="102">
    <w:name w:val="search-kw2"/>
    <w:qFormat/>
    <w:uiPriority w:val="0"/>
  </w:style>
  <w:style w:type="character" w:customStyle="1" w:styleId="103">
    <w:name w:val="font0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113</Pages>
  <Words>42427</Words>
  <Characters>42589</Characters>
  <Lines>348</Lines>
  <Paragraphs>98</Paragraphs>
  <TotalTime>47</TotalTime>
  <ScaleCrop>false</ScaleCrop>
  <LinksUpToDate>false</LinksUpToDate>
  <CharactersWithSpaces>42744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2023-10-26T18:37:00Z</dcterms:created>
  <dc:creator>Administrator</dc:creator>
  <cp:lastModifiedBy>宋强</cp:lastModifiedBy>
  <cp:lastPrinted>2023-10-28T23:13:00Z</cp:lastPrinted>
  <dcterms:modified xsi:type="dcterms:W3CDTF">2025-08-06T02:25:44Z</dcterms:modified>
  <dc:title>  </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C4CE4CD0799D4F0FB608BB3C0E07D223_13</vt:lpwstr>
  </property>
  <property fmtid="{D5CDD505-2E9C-101B-9397-08002B2CF9AE}" pid="4" name="KSOTemplateDocerSaveRecord">
    <vt:lpwstr>eyJoZGlkIjoiYWUyZDZhYTc3OWQ1NjA0OWY1NmFmMzE2NjM2ZWRiMTQiLCJ1c2VySWQiOiIxNDU1OTM3NTU5In0=</vt:lpwstr>
  </property>
</Properties>
</file>